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g" ContentType="image/jp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1" w:after="0" w:line="190" w:lineRule="exact"/>
        <w:jc w:val="left"/>
        <w:rPr>
          <w:sz w:val="19"/>
          <w:szCs w:val="19"/>
        </w:rPr>
      </w:pPr>
      <w:r>
        <w:rPr>
          <w:sz w:val="19"/>
          <w:szCs w:val="19"/>
        </w:rPr>
      </w:r>
    </w:p>
    <w:p>
      <w:pPr>
        <w:spacing w:line="190" w:lineRule="exact" w:after="0"/>
        <w:jc w:val="left"/>
        <w:rPr>
          <w:sz w:val="19"/>
          <w:szCs w:val="19"/>
        </w:rPr>
        <w:sectPr>
          <w:headerReference w:type="default" r:id="rId5"/>
          <w:footerReference w:type="default" r:id="rId6"/>
          <w:type w:val="continuous"/>
          <w:pgSz w:w="11900" w:h="16820"/>
          <w:pgMar w:header="299" w:footer="1582" w:top="1040" w:bottom="1780" w:left="620" w:right="540"/>
          <w:pgNumType w:start="1"/>
        </w:sectPr>
      </w:pPr>
    </w:p>
    <w:p>
      <w:pPr>
        <w:spacing w:before="0" w:after="0" w:line="284" w:lineRule="exact"/>
        <w:ind w:left="137" w:right="-73"/>
        <w:jc w:val="left"/>
        <w:rPr>
          <w:rFonts w:ascii="Arial Unicode MS" w:hAnsi="Arial Unicode MS" w:cs="Arial Unicode MS" w:eastAsia="Arial Unicode MS"/>
          <w:sz w:val="22"/>
          <w:szCs w:val="22"/>
        </w:rPr>
      </w:pPr>
      <w:r>
        <w:rPr/>
        <w:pict>
          <v:group style="position:absolute;margin-left:145.850006pt;margin-top:20.764025pt;width:414pt;height:.1pt;mso-position-horizontal-relative:page;mso-position-vertical-relative:paragraph;z-index:-361" coordorigin="2917,415" coordsize="8280,2">
            <v:shape style="position:absolute;left:2917;top:415;width:8280;height:2" coordorigin="2917,415" coordsize="8280,0" path="m2917,415l11197,415e" filled="f" stroked="t" strokeweight="1.5pt" strokecolor="#000000">
              <v:path arrowok="t"/>
            </v:shape>
            <w10:wrap type="none"/>
          </v:group>
        </w:pict>
      </w:r>
      <w:r>
        <w:rPr>
          <w:rFonts w:ascii="Arial Unicode MS" w:hAnsi="Arial Unicode MS" w:cs="Arial Unicode MS" w:eastAsia="Arial Unicode MS"/>
          <w:spacing w:val="0"/>
          <w:w w:val="100"/>
          <w:position w:val="0"/>
          <w:sz w:val="22"/>
          <w:szCs w:val="22"/>
        </w:rPr>
        <w:t>产品概述</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一种浅色、无溶剂、纯环氧涂料。</w:t>
      </w:r>
    </w:p>
    <w:p>
      <w:pPr>
        <w:spacing w:line="231" w:lineRule="exact"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1018" w:space="1294"/>
            <w:col w:w="8428"/>
          </w:cols>
        </w:sectPr>
      </w:pPr>
    </w:p>
    <w:p>
      <w:pPr>
        <w:spacing w:before="7" w:after="0" w:line="200" w:lineRule="exact"/>
        <w:jc w:val="left"/>
        <w:rPr>
          <w:sz w:val="20"/>
          <w:szCs w:val="20"/>
        </w:rPr>
      </w:pPr>
      <w:r>
        <w:rPr>
          <w:sz w:val="20"/>
          <w:szCs w:val="20"/>
        </w:rPr>
      </w:r>
    </w:p>
    <w:p>
      <w:pPr>
        <w:spacing w:line="200" w:lineRule="exact" w:after="0"/>
        <w:jc w:val="left"/>
        <w:rPr>
          <w:sz w:val="20"/>
          <w:szCs w:val="20"/>
        </w:rPr>
        <w:sectPr>
          <w:type w:val="continuous"/>
          <w:pgSz w:w="11900" w:h="16820"/>
          <w:pgMar w:top="1040" w:bottom="1780" w:left="620" w:right="540"/>
        </w:sectPr>
      </w:pPr>
    </w:p>
    <w:p>
      <w:pPr>
        <w:spacing w:before="0" w:after="0" w:line="299"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预期用途</w:t>
      </w:r>
    </w:p>
    <w:p>
      <w:pPr>
        <w:spacing w:before="7" w:after="0" w:line="185" w:lineRule="auto"/>
        <w:ind w:right="3421"/>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一种高性能饮水舱涂料，也可用于压载舱、空舱、隔离舱和潮湿区域。</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用于新造船或维修和保养。</w:t>
      </w:r>
    </w:p>
    <w:p>
      <w:pPr>
        <w:spacing w:line="185" w:lineRule="auto"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1018" w:space="1279"/>
            <w:col w:w="8443"/>
          </w:cols>
        </w:sectPr>
      </w:pPr>
    </w:p>
    <w:p>
      <w:pPr>
        <w:spacing w:before="12" w:after="0" w:line="220" w:lineRule="exact"/>
        <w:jc w:val="left"/>
        <w:rPr>
          <w:sz w:val="22"/>
          <w:szCs w:val="22"/>
        </w:rPr>
      </w:pPr>
      <w:r>
        <w:rPr>
          <w:sz w:val="22"/>
          <w:szCs w:val="22"/>
        </w:rPr>
      </w:r>
    </w:p>
    <w:p>
      <w:pPr>
        <w:spacing w:line="220" w:lineRule="exact" w:after="0"/>
        <w:jc w:val="left"/>
        <w:rPr>
          <w:sz w:val="22"/>
          <w:szCs w:val="22"/>
        </w:rPr>
        <w:sectPr>
          <w:type w:val="continuous"/>
          <w:pgSz w:w="11900" w:h="16820"/>
          <w:pgMar w:top="1040" w:bottom="1780" w:left="620" w:right="540"/>
        </w:sectPr>
      </w:pPr>
    </w:p>
    <w:p>
      <w:pPr>
        <w:tabs>
          <w:tab w:pos="2280" w:val="left"/>
        </w:tabs>
        <w:spacing w:before="0" w:after="0" w:line="299" w:lineRule="exact"/>
        <w:ind w:left="137" w:right="-73"/>
        <w:jc w:val="left"/>
        <w:rPr>
          <w:rFonts w:ascii="Arial Unicode MS" w:hAnsi="Arial Unicode MS" w:cs="Arial Unicode MS" w:eastAsia="Arial Unicode MS"/>
          <w:sz w:val="22"/>
          <w:szCs w:val="22"/>
        </w:rPr>
      </w:pPr>
      <w:r>
        <w:rPr/>
        <w:pict>
          <v:group style="position:absolute;margin-left:145.850006pt;margin-top:-3.757876pt;width:414pt;height:.1pt;mso-position-horizontal-relative:page;mso-position-vertical-relative:paragraph;z-index:-360" coordorigin="2917,-75" coordsize="8280,2">
            <v:shape style="position:absolute;left:2917;top:-75;width:8280;height:2" coordorigin="2917,-75" coordsize="8280,0" path="m2917,-75l11197,-75e" filled="f" stroked="t" strokeweight="1.5pt" strokecolor="#000000">
              <v:path arrowok="t"/>
            </v:shape>
            <w10:wrap type="none"/>
          </v:group>
        </w:pict>
      </w:r>
      <w:r>
        <w:rPr>
          <w:rFonts w:ascii="Arial Unicode MS" w:hAnsi="Arial Unicode MS" w:cs="Arial Unicode MS" w:eastAsia="Arial Unicode MS"/>
          <w:spacing w:val="0"/>
          <w:w w:val="100"/>
          <w:sz w:val="22"/>
          <w:szCs w:val="22"/>
        </w:rPr>
        <w:t>产品信息</w:t>
        <w:tab/>
      </w:r>
      <w:r>
        <w:rPr>
          <w:rFonts w:ascii="Arial Unicode MS" w:hAnsi="Arial Unicode MS" w:cs="Arial Unicode MS" w:eastAsia="Arial Unicode MS"/>
          <w:spacing w:val="0"/>
          <w:w w:val="100"/>
          <w:sz w:val="22"/>
          <w:szCs w:val="22"/>
        </w:rPr>
        <w:t>颜色</w:t>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THA125/THA127</w:t>
      </w:r>
      <w:r>
        <w:rPr>
          <w:rFonts w:ascii="Arial Unicode MS" w:hAnsi="Arial Unicode MS" w:cs="Arial Unicode MS" w:eastAsia="Arial Unicode MS"/>
          <w:spacing w:val="-12"/>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白色,</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THA125/THA126</w:t>
      </w:r>
      <w:r>
        <w:rPr>
          <w:rFonts w:ascii="Arial Unicode MS" w:hAnsi="Arial Unicode MS" w:cs="Arial Unicode MS" w:eastAsia="Arial Unicode MS"/>
          <w:spacing w:val="-12"/>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奶油色</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(世界其它地区)</w:t>
      </w:r>
    </w:p>
    <w:p>
      <w:pPr>
        <w:spacing w:before="0" w:after="0" w:line="203"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16"/>
          <w:szCs w:val="16"/>
        </w:rPr>
        <w:t>925A/92510B</w:t>
      </w:r>
      <w:r>
        <w:rPr>
          <w:rFonts w:ascii="Arial Unicode MS" w:hAnsi="Arial Unicode MS" w:cs="Arial Unicode MS" w:eastAsia="Arial Unicode MS"/>
          <w:spacing w:val="-10"/>
          <w:w w:val="100"/>
          <w:position w:val="0"/>
          <w:sz w:val="16"/>
          <w:szCs w:val="16"/>
        </w:rPr>
        <w:t> </w:t>
      </w:r>
      <w:r>
        <w:rPr>
          <w:rFonts w:ascii="Arial Unicode MS" w:hAnsi="Arial Unicode MS" w:cs="Arial Unicode MS" w:eastAsia="Arial Unicode MS"/>
          <w:spacing w:val="0"/>
          <w:w w:val="100"/>
          <w:position w:val="0"/>
          <w:sz w:val="16"/>
          <w:szCs w:val="16"/>
        </w:rPr>
        <w:t>-</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白色,</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925A/92503B</w:t>
      </w:r>
      <w:r>
        <w:rPr>
          <w:rFonts w:ascii="Arial Unicode MS" w:hAnsi="Arial Unicode MS" w:cs="Arial Unicode MS" w:eastAsia="Arial Unicode MS"/>
          <w:spacing w:val="-10"/>
          <w:w w:val="100"/>
          <w:position w:val="0"/>
          <w:sz w:val="16"/>
          <w:szCs w:val="16"/>
        </w:rPr>
        <w:t> </w:t>
      </w:r>
      <w:r>
        <w:rPr>
          <w:rFonts w:ascii="Arial Unicode MS" w:hAnsi="Arial Unicode MS" w:cs="Arial Unicode MS" w:eastAsia="Arial Unicode MS"/>
          <w:spacing w:val="0"/>
          <w:w w:val="100"/>
          <w:position w:val="0"/>
          <w:sz w:val="16"/>
          <w:szCs w:val="16"/>
        </w:rPr>
        <w:t>-</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奶油色</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(美国)</w:t>
      </w:r>
      <w:r>
        <w:rPr>
          <w:rFonts w:ascii="Arial Unicode MS" w:hAnsi="Arial Unicode MS" w:cs="Arial Unicode MS" w:eastAsia="Arial Unicode MS"/>
          <w:spacing w:val="0"/>
          <w:w w:val="100"/>
          <w:position w:val="0"/>
          <w:sz w:val="16"/>
          <w:szCs w:val="16"/>
        </w:rPr>
      </w:r>
    </w:p>
    <w:p>
      <w:pPr>
        <w:spacing w:line="203" w:lineRule="exact"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2738" w:space="1935"/>
            <w:col w:w="6067"/>
          </w:cols>
        </w:sectPr>
      </w:pPr>
    </w:p>
    <w:p>
      <w:pPr>
        <w:tabs>
          <w:tab w:pos="4660" w:val="left"/>
        </w:tabs>
        <w:spacing w:before="16" w:after="0" w:line="240" w:lineRule="auto"/>
        <w:ind w:left="2304"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22"/>
          <w:szCs w:val="22"/>
        </w:rPr>
        <w:t>面漆/光泽</w:t>
      </w:r>
      <w:r>
        <w:rPr>
          <w:rFonts w:ascii="Arial Unicode MS" w:hAnsi="Arial Unicode MS" w:cs="Arial Unicode MS" w:eastAsia="Arial Unicode MS"/>
          <w:spacing w:val="0"/>
          <w:w w:val="100"/>
          <w:sz w:val="22"/>
          <w:szCs w:val="22"/>
        </w:rPr>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5"/>
          <w:sz w:val="16"/>
          <w:szCs w:val="16"/>
        </w:rPr>
        <w:t>光泽</w:t>
      </w:r>
      <w:r>
        <w:rPr>
          <w:rFonts w:ascii="Arial Unicode MS" w:hAnsi="Arial Unicode MS" w:cs="Arial Unicode MS" w:eastAsia="Arial Unicode MS"/>
          <w:spacing w:val="0"/>
          <w:w w:val="100"/>
          <w:position w:val="0"/>
          <w:sz w:val="16"/>
          <w:szCs w:val="16"/>
        </w:rPr>
      </w:r>
    </w:p>
    <w:p>
      <w:pPr>
        <w:tabs>
          <w:tab w:pos="4660" w:val="left"/>
        </w:tabs>
        <w:spacing w:before="0" w:after="0" w:line="349"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2"/>
          <w:sz w:val="22"/>
          <w:szCs w:val="22"/>
        </w:rPr>
        <w:t>乙组份（固化剂）</w:t>
        <w:tab/>
      </w:r>
      <w:r>
        <w:rPr>
          <w:rFonts w:ascii="Arial Unicode MS" w:hAnsi="Arial Unicode MS" w:cs="Arial Unicode MS" w:eastAsia="Arial Unicode MS"/>
          <w:spacing w:val="0"/>
          <w:w w:val="100"/>
          <w:position w:val="-2"/>
          <w:sz w:val="22"/>
          <w:szCs w:val="22"/>
        </w:rPr>
      </w:r>
      <w:r>
        <w:rPr>
          <w:rFonts w:ascii="Arial Unicode MS" w:hAnsi="Arial Unicode MS" w:cs="Arial Unicode MS" w:eastAsia="Arial Unicode MS"/>
          <w:spacing w:val="0"/>
          <w:w w:val="100"/>
          <w:position w:val="3"/>
          <w:sz w:val="16"/>
          <w:szCs w:val="16"/>
        </w:rPr>
        <w:t>THA126,</w:t>
      </w:r>
      <w:r>
        <w:rPr>
          <w:rFonts w:ascii="Arial Unicode MS" w:hAnsi="Arial Unicode MS" w:cs="Arial Unicode MS" w:eastAsia="Arial Unicode MS"/>
          <w:spacing w:val="-6"/>
          <w:w w:val="100"/>
          <w:position w:val="3"/>
          <w:sz w:val="16"/>
          <w:szCs w:val="16"/>
        </w:rPr>
        <w:t> </w:t>
      </w:r>
      <w:r>
        <w:rPr>
          <w:rFonts w:ascii="Arial Unicode MS" w:hAnsi="Arial Unicode MS" w:cs="Arial Unicode MS" w:eastAsia="Arial Unicode MS"/>
          <w:spacing w:val="0"/>
          <w:w w:val="100"/>
          <w:position w:val="3"/>
          <w:sz w:val="16"/>
          <w:szCs w:val="16"/>
        </w:rPr>
        <w:t>THA127,</w:t>
      </w:r>
      <w:r>
        <w:rPr>
          <w:rFonts w:ascii="Arial Unicode MS" w:hAnsi="Arial Unicode MS" w:cs="Arial Unicode MS" w:eastAsia="Arial Unicode MS"/>
          <w:spacing w:val="-6"/>
          <w:w w:val="100"/>
          <w:position w:val="3"/>
          <w:sz w:val="16"/>
          <w:szCs w:val="16"/>
        </w:rPr>
        <w:t> </w:t>
      </w:r>
      <w:r>
        <w:rPr>
          <w:rFonts w:ascii="Arial Unicode MS" w:hAnsi="Arial Unicode MS" w:cs="Arial Unicode MS" w:eastAsia="Arial Unicode MS"/>
          <w:spacing w:val="0"/>
          <w:w w:val="100"/>
          <w:position w:val="3"/>
          <w:sz w:val="16"/>
          <w:szCs w:val="16"/>
        </w:rPr>
        <w:t>92510B,</w:t>
      </w:r>
      <w:r>
        <w:rPr>
          <w:rFonts w:ascii="Arial Unicode MS" w:hAnsi="Arial Unicode MS" w:cs="Arial Unicode MS" w:eastAsia="Arial Unicode MS"/>
          <w:spacing w:val="-6"/>
          <w:w w:val="100"/>
          <w:position w:val="3"/>
          <w:sz w:val="16"/>
          <w:szCs w:val="16"/>
        </w:rPr>
        <w:t> </w:t>
      </w:r>
      <w:r>
        <w:rPr>
          <w:rFonts w:ascii="Arial Unicode MS" w:hAnsi="Arial Unicode MS" w:cs="Arial Unicode MS" w:eastAsia="Arial Unicode MS"/>
          <w:spacing w:val="0"/>
          <w:w w:val="100"/>
          <w:position w:val="3"/>
          <w:sz w:val="16"/>
          <w:szCs w:val="16"/>
        </w:rPr>
        <w:t>92503B</w:t>
      </w:r>
      <w:r>
        <w:rPr>
          <w:rFonts w:ascii="Arial Unicode MS" w:hAnsi="Arial Unicode MS" w:cs="Arial Unicode MS" w:eastAsia="Arial Unicode MS"/>
          <w:spacing w:val="0"/>
          <w:w w:val="100"/>
          <w:position w:val="0"/>
          <w:sz w:val="16"/>
          <w:szCs w:val="16"/>
        </w:rPr>
      </w:r>
    </w:p>
    <w:p>
      <w:pPr>
        <w:spacing w:line="349" w:lineRule="exact" w:after="0"/>
        <w:jc w:val="left"/>
        <w:rPr>
          <w:rFonts w:ascii="Arial Unicode MS" w:hAnsi="Arial Unicode MS" w:cs="Arial Unicode MS" w:eastAsia="Arial Unicode MS"/>
          <w:sz w:val="16"/>
          <w:szCs w:val="16"/>
        </w:rPr>
        <w:sectPr>
          <w:type w:val="continuous"/>
          <w:pgSz w:w="11900" w:h="16820"/>
          <w:pgMar w:top="1040" w:bottom="1780" w:left="620" w:right="540"/>
        </w:sectPr>
      </w:pPr>
    </w:p>
    <w:p>
      <w:pPr>
        <w:spacing w:before="0" w:after="0" w:line="366" w:lineRule="exact"/>
        <w:ind w:right="-20"/>
        <w:jc w:val="righ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2"/>
          <w:sz w:val="22"/>
          <w:szCs w:val="22"/>
        </w:rPr>
        <w:t>体积固体份</w:t>
      </w:r>
      <w:r>
        <w:rPr>
          <w:rFonts w:ascii="Arial Unicode MS" w:hAnsi="Arial Unicode MS" w:cs="Arial Unicode MS" w:eastAsia="Arial Unicode MS"/>
          <w:spacing w:val="0"/>
          <w:w w:val="100"/>
          <w:position w:val="0"/>
          <w:sz w:val="22"/>
          <w:szCs w:val="22"/>
        </w:rPr>
      </w:r>
    </w:p>
    <w:p>
      <w:pPr>
        <w:spacing w:before="39" w:after="0" w:line="240" w:lineRule="auto"/>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100％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3233:1998)</w:t>
      </w:r>
      <w:r>
        <w:rPr>
          <w:rFonts w:ascii="Arial Unicode MS" w:hAnsi="Arial Unicode MS" w:cs="Arial Unicode MS" w:eastAsia="Arial Unicode MS"/>
          <w:spacing w:val="0"/>
          <w:w w:val="100"/>
          <w:sz w:val="16"/>
          <w:szCs w:val="16"/>
        </w:rPr>
      </w:r>
    </w:p>
    <w:p>
      <w:pPr>
        <w:spacing w:line="240" w:lineRule="auto"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3398" w:space="1275"/>
            <w:col w:w="6067"/>
          </w:cols>
        </w:sectPr>
      </w:pPr>
    </w:p>
    <w:p>
      <w:pPr>
        <w:spacing w:before="6" w:after="0" w:line="160" w:lineRule="exact"/>
        <w:jc w:val="left"/>
        <w:rPr>
          <w:sz w:val="16"/>
          <w:szCs w:val="16"/>
        </w:rPr>
      </w:pPr>
      <w:r>
        <w:rPr>
          <w:sz w:val="16"/>
          <w:szCs w:val="16"/>
        </w:rPr>
      </w:r>
    </w:p>
    <w:p>
      <w:pPr>
        <w:tabs>
          <w:tab w:pos="4660" w:val="left"/>
        </w:tabs>
        <w:spacing w:before="0" w:after="0" w:line="28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22"/>
          <w:szCs w:val="22"/>
        </w:rPr>
        <w:t>混合比例</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甲组份：乙组份=3：1</w:t>
      </w:r>
      <w:r>
        <w:rPr>
          <w:rFonts w:ascii="Arial Unicode MS" w:hAnsi="Arial Unicode MS" w:cs="Arial Unicode MS" w:eastAsia="Arial Unicode MS"/>
          <w:spacing w:val="-16"/>
          <w:w w:val="100"/>
          <w:position w:val="4"/>
          <w:sz w:val="16"/>
          <w:szCs w:val="16"/>
        </w:rPr>
        <w:t> </w:t>
      </w:r>
      <w:r>
        <w:rPr>
          <w:rFonts w:ascii="Arial Unicode MS" w:hAnsi="Arial Unicode MS" w:cs="Arial Unicode MS" w:eastAsia="Arial Unicode MS"/>
          <w:spacing w:val="0"/>
          <w:w w:val="100"/>
          <w:position w:val="4"/>
          <w:sz w:val="16"/>
          <w:szCs w:val="16"/>
        </w:rPr>
        <w:t>(体积比)</w:t>
      </w:r>
      <w:r>
        <w:rPr>
          <w:rFonts w:ascii="Arial Unicode MS" w:hAnsi="Arial Unicode MS" w:cs="Arial Unicode MS" w:eastAsia="Arial Unicode MS"/>
          <w:spacing w:val="0"/>
          <w:w w:val="100"/>
          <w:position w:val="0"/>
          <w:sz w:val="16"/>
          <w:szCs w:val="16"/>
        </w:rPr>
      </w:r>
    </w:p>
    <w:p>
      <w:pPr>
        <w:spacing w:line="284" w:lineRule="exact" w:after="0"/>
        <w:jc w:val="left"/>
        <w:rPr>
          <w:rFonts w:ascii="Arial Unicode MS" w:hAnsi="Arial Unicode MS" w:cs="Arial Unicode MS" w:eastAsia="Arial Unicode MS"/>
          <w:sz w:val="16"/>
          <w:szCs w:val="16"/>
        </w:rPr>
        <w:sectPr>
          <w:type w:val="continuous"/>
          <w:pgSz w:w="11900" w:h="16820"/>
          <w:pgMar w:top="1040" w:bottom="1780" w:left="620" w:right="540"/>
        </w:sectPr>
      </w:pPr>
    </w:p>
    <w:p>
      <w:pPr>
        <w:spacing w:before="53" w:after="0" w:line="313" w:lineRule="auto"/>
        <w:ind w:left="2291" w:right="-77"/>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标准膜厚</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理论涂布率</w:t>
      </w:r>
    </w:p>
    <w:p>
      <w:pPr>
        <w:spacing w:before="0" w:after="0" w:line="264" w:lineRule="exact"/>
        <w:ind w:right="200"/>
        <w:jc w:val="righ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施工方法</w:t>
      </w:r>
      <w:r>
        <w:rPr>
          <w:rFonts w:ascii="Arial Unicode MS" w:hAnsi="Arial Unicode MS" w:cs="Arial Unicode MS" w:eastAsia="Arial Unicode MS"/>
          <w:spacing w:val="0"/>
          <w:w w:val="100"/>
          <w:position w:val="0"/>
          <w:sz w:val="22"/>
          <w:szCs w:val="22"/>
        </w:rPr>
      </w:r>
    </w:p>
    <w:p>
      <w:pPr>
        <w:spacing w:before="2" w:after="0" w:line="140" w:lineRule="exact"/>
        <w:jc w:val="left"/>
        <w:rPr>
          <w:sz w:val="14"/>
          <w:szCs w:val="14"/>
        </w:rPr>
      </w:pPr>
      <w:r>
        <w:rPr/>
        <w:br w:type="column"/>
      </w:r>
      <w:r>
        <w:rPr>
          <w:sz w:val="14"/>
          <w:szCs w:val="14"/>
        </w:rPr>
      </w:r>
    </w:p>
    <w:p>
      <w:pPr>
        <w:spacing w:before="0" w:after="0" w:line="185" w:lineRule="auto"/>
        <w:ind w:right="833"/>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300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微米干膜厚</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(300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微米湿膜厚)。NSF</w:t>
      </w:r>
      <w:r>
        <w:rPr>
          <w:rFonts w:ascii="Arial Unicode MS" w:hAnsi="Arial Unicode MS" w:cs="Arial Unicode MS" w:eastAsia="Arial Unicode MS"/>
          <w:spacing w:val="-13"/>
          <w:w w:val="100"/>
          <w:sz w:val="16"/>
          <w:szCs w:val="16"/>
        </w:rPr>
        <w:t> </w:t>
      </w:r>
      <w:r>
        <w:rPr>
          <w:rFonts w:ascii="Arial Unicode MS" w:hAnsi="Arial Unicode MS" w:cs="Arial Unicode MS" w:eastAsia="Arial Unicode MS"/>
          <w:spacing w:val="0"/>
          <w:w w:val="100"/>
          <w:sz w:val="16"/>
          <w:szCs w:val="16"/>
        </w:rPr>
        <w:t>认可基于单道涂层</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450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厚。</w:t>
      </w:r>
    </w:p>
    <w:p>
      <w:pPr>
        <w:spacing w:before="16"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300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微米干膜厚时理论涂布率为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3.33</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米²/公升，允许适当的损耗系数</w:t>
      </w:r>
      <w:r>
        <w:rPr>
          <w:rFonts w:ascii="Arial Unicode MS" w:hAnsi="Arial Unicode MS" w:cs="Arial Unicode MS" w:eastAsia="Arial Unicode MS"/>
          <w:spacing w:val="0"/>
          <w:w w:val="100"/>
          <w:sz w:val="16"/>
          <w:szCs w:val="16"/>
        </w:rPr>
      </w:r>
    </w:p>
    <w:p>
      <w:pPr>
        <w:spacing w:before="92"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无气喷涂,</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刷涂,</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漆辊</w:t>
      </w:r>
    </w:p>
    <w:p>
      <w:pPr>
        <w:spacing w:line="240" w:lineRule="auto"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3392" w:space="1281"/>
            <w:col w:w="6067"/>
          </w:cols>
        </w:sectPr>
      </w:pPr>
    </w:p>
    <w:p>
      <w:pPr>
        <w:tabs>
          <w:tab w:pos="4660" w:val="left"/>
        </w:tabs>
        <w:spacing w:before="0" w:after="0" w:line="377" w:lineRule="exact"/>
        <w:ind w:left="2291" w:right="-20"/>
        <w:jc w:val="left"/>
        <w:rPr>
          <w:rFonts w:ascii="Arial Unicode MS" w:hAnsi="Arial Unicode MS" w:cs="Arial Unicode MS" w:eastAsia="Arial Unicode MS"/>
          <w:sz w:val="16"/>
          <w:szCs w:val="16"/>
        </w:rPr>
      </w:pPr>
      <w:r>
        <w:rPr/>
        <w:pict>
          <v:group style="position:absolute;margin-left:145.570007pt;margin-top:35.540146pt;width:414.0pt;height:.1pt;mso-position-horizontal-relative:page;mso-position-vertical-relative:paragraph;z-index:-358" coordorigin="2911,711" coordsize="8280,2">
            <v:shape style="position:absolute;left:2911;top:711;width:8280;height:2" coordorigin="2911,711" coordsize="8280,0" path="m2911,711l11191,711e" filled="f" stroked="t" strokeweight="1.5pt" strokecolor="#000000">
              <v:path arrowok="t"/>
            </v:shape>
            <w10:wrap type="none"/>
          </v:group>
        </w:pict>
      </w:r>
      <w:r>
        <w:rPr>
          <w:rFonts w:ascii="Arial Unicode MS" w:hAnsi="Arial Unicode MS" w:cs="Arial Unicode MS" w:eastAsia="Arial Unicode MS"/>
          <w:spacing w:val="0"/>
          <w:w w:val="100"/>
          <w:position w:val="-1"/>
          <w:sz w:val="22"/>
          <w:szCs w:val="22"/>
        </w:rPr>
        <w:t>闪点</w:t>
        <w:tab/>
      </w:r>
      <w:r>
        <w:rPr>
          <w:rFonts w:ascii="Arial Unicode MS" w:hAnsi="Arial Unicode MS" w:cs="Arial Unicode MS" w:eastAsia="Arial Unicode MS"/>
          <w:spacing w:val="0"/>
          <w:w w:val="100"/>
          <w:position w:val="-1"/>
          <w:sz w:val="22"/>
          <w:szCs w:val="22"/>
        </w:rPr>
      </w:r>
      <w:r>
        <w:rPr>
          <w:rFonts w:ascii="Arial Unicode MS" w:hAnsi="Arial Unicode MS" w:cs="Arial Unicode MS" w:eastAsia="Arial Unicode MS"/>
          <w:spacing w:val="0"/>
          <w:w w:val="100"/>
          <w:position w:val="3"/>
          <w:sz w:val="16"/>
          <w:szCs w:val="16"/>
        </w:rPr>
        <w:t>甲组份</w:t>
      </w:r>
      <w:r>
        <w:rPr>
          <w:rFonts w:ascii="Arial Unicode MS" w:hAnsi="Arial Unicode MS" w:cs="Arial Unicode MS" w:eastAsia="Arial Unicode MS"/>
          <w:spacing w:val="0"/>
          <w:w w:val="100"/>
          <w:position w:val="3"/>
          <w:sz w:val="16"/>
          <w:szCs w:val="16"/>
        </w:rPr>
        <w:t> </w:t>
      </w:r>
      <w:r>
        <w:rPr>
          <w:rFonts w:ascii="Arial Unicode MS" w:hAnsi="Arial Unicode MS" w:cs="Arial Unicode MS" w:eastAsia="Arial Unicode MS"/>
          <w:spacing w:val="0"/>
          <w:w w:val="100"/>
          <w:position w:val="3"/>
          <w:sz w:val="16"/>
          <w:szCs w:val="16"/>
        </w:rPr>
        <w:t>&gt;101°C;</w:t>
      </w:r>
      <w:r>
        <w:rPr>
          <w:rFonts w:ascii="Arial Unicode MS" w:hAnsi="Arial Unicode MS" w:cs="Arial Unicode MS" w:eastAsia="Arial Unicode MS"/>
          <w:spacing w:val="-6"/>
          <w:w w:val="100"/>
          <w:position w:val="3"/>
          <w:sz w:val="16"/>
          <w:szCs w:val="16"/>
        </w:rPr>
        <w:t> </w:t>
      </w:r>
      <w:r>
        <w:rPr>
          <w:rFonts w:ascii="Arial Unicode MS" w:hAnsi="Arial Unicode MS" w:cs="Arial Unicode MS" w:eastAsia="Arial Unicode MS"/>
          <w:spacing w:val="0"/>
          <w:w w:val="100"/>
          <w:position w:val="3"/>
          <w:sz w:val="16"/>
          <w:szCs w:val="16"/>
        </w:rPr>
        <w:t>乙组份</w:t>
      </w:r>
      <w:r>
        <w:rPr>
          <w:rFonts w:ascii="Arial Unicode MS" w:hAnsi="Arial Unicode MS" w:cs="Arial Unicode MS" w:eastAsia="Arial Unicode MS"/>
          <w:spacing w:val="0"/>
          <w:w w:val="100"/>
          <w:position w:val="3"/>
          <w:sz w:val="16"/>
          <w:szCs w:val="16"/>
        </w:rPr>
        <w:t> </w:t>
      </w:r>
      <w:r>
        <w:rPr>
          <w:rFonts w:ascii="Arial Unicode MS" w:hAnsi="Arial Unicode MS" w:cs="Arial Unicode MS" w:eastAsia="Arial Unicode MS"/>
          <w:spacing w:val="0"/>
          <w:w w:val="100"/>
          <w:position w:val="3"/>
          <w:sz w:val="16"/>
          <w:szCs w:val="16"/>
        </w:rPr>
        <w:t>&gt;101°C;</w:t>
      </w:r>
      <w:r>
        <w:rPr>
          <w:rFonts w:ascii="Arial Unicode MS" w:hAnsi="Arial Unicode MS" w:cs="Arial Unicode MS" w:eastAsia="Arial Unicode MS"/>
          <w:spacing w:val="-6"/>
          <w:w w:val="100"/>
          <w:position w:val="3"/>
          <w:sz w:val="16"/>
          <w:szCs w:val="16"/>
        </w:rPr>
        <w:t> </w:t>
      </w:r>
      <w:r>
        <w:rPr>
          <w:rFonts w:ascii="Arial Unicode MS" w:hAnsi="Arial Unicode MS" w:cs="Arial Unicode MS" w:eastAsia="Arial Unicode MS"/>
          <w:spacing w:val="0"/>
          <w:w w:val="100"/>
          <w:position w:val="3"/>
          <w:sz w:val="16"/>
          <w:szCs w:val="16"/>
        </w:rPr>
        <w:t>混合后</w:t>
      </w:r>
      <w:r>
        <w:rPr>
          <w:rFonts w:ascii="Arial Unicode MS" w:hAnsi="Arial Unicode MS" w:cs="Arial Unicode MS" w:eastAsia="Arial Unicode MS"/>
          <w:spacing w:val="0"/>
          <w:w w:val="100"/>
          <w:position w:val="3"/>
          <w:sz w:val="16"/>
          <w:szCs w:val="16"/>
        </w:rPr>
        <w:t> </w:t>
      </w:r>
      <w:r>
        <w:rPr>
          <w:rFonts w:ascii="Arial Unicode MS" w:hAnsi="Arial Unicode MS" w:cs="Arial Unicode MS" w:eastAsia="Arial Unicode MS"/>
          <w:spacing w:val="0"/>
          <w:w w:val="100"/>
          <w:position w:val="3"/>
          <w:sz w:val="16"/>
          <w:szCs w:val="16"/>
        </w:rPr>
        <w:t>&gt;101°C</w:t>
      </w:r>
      <w:r>
        <w:rPr>
          <w:rFonts w:ascii="Arial Unicode MS" w:hAnsi="Arial Unicode MS" w:cs="Arial Unicode MS" w:eastAsia="Arial Unicode MS"/>
          <w:spacing w:val="0"/>
          <w:w w:val="100"/>
          <w:position w:val="0"/>
          <w:sz w:val="16"/>
          <w:szCs w:val="16"/>
        </w:rPr>
      </w:r>
    </w:p>
    <w:p>
      <w:pPr>
        <w:spacing w:before="8" w:after="0" w:line="140" w:lineRule="exact"/>
        <w:jc w:val="left"/>
        <w:rPr>
          <w:sz w:val="14"/>
          <w:szCs w:val="14"/>
        </w:rPr>
      </w:pPr>
      <w:r>
        <w:rPr>
          <w:sz w:val="14"/>
          <w:szCs w:val="14"/>
        </w:rPr>
      </w:r>
    </w:p>
    <w:p>
      <w:pPr>
        <w:spacing w:before="0" w:after="0" w:line="200" w:lineRule="exact"/>
        <w:jc w:val="left"/>
        <w:rPr>
          <w:sz w:val="20"/>
          <w:szCs w:val="20"/>
        </w:rPr>
      </w:pPr>
      <w:r>
        <w:rPr>
          <w:sz w:val="20"/>
          <w:szCs w:val="20"/>
        </w:rPr>
      </w:r>
    </w:p>
    <w:tbl>
      <w:tblPr>
        <w:tblW w:w="0" w:type="auto"/>
        <w:jc w:val="left"/>
        <w:tblInd w:w="2223" w:type="dxa"/>
        <w:tblLayout w:type="fixed"/>
        <w:tblCellMar>
          <w:top w:w="0" w:type="dxa"/>
          <w:left w:w="0" w:type="dxa"/>
          <w:bottom w:w="0" w:type="dxa"/>
          <w:right w:w="0" w:type="dxa"/>
        </w:tblCellMar>
        <w:tblLook w:val="01E0"/>
      </w:tblPr>
      <w:tblGrid/>
      <w:tr>
        <w:trPr>
          <w:trHeight w:val="453" w:hRule="exact"/>
        </w:trPr>
        <w:tc>
          <w:tcPr>
            <w:tcW w:w="2351" w:type="dxa"/>
            <w:tcBorders>
              <w:top w:val="nil" w:sz="6" w:space="0" w:color="auto"/>
              <w:left w:val="nil" w:sz="6" w:space="0" w:color="auto"/>
              <w:bottom w:val="nil" w:sz="6" w:space="0" w:color="auto"/>
              <w:right w:val="nil" w:sz="6" w:space="0" w:color="auto"/>
            </w:tcBorders>
          </w:tcPr>
          <w:p>
            <w:pPr>
              <w:spacing w:before="93" w:after="0" w:line="240" w:lineRule="auto"/>
              <w:ind w:left="4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干燥资料</w:t>
            </w:r>
          </w:p>
        </w:tc>
        <w:tc>
          <w:tcPr>
            <w:tcW w:w="1265" w:type="dxa"/>
            <w:tcBorders>
              <w:top w:val="single" w:sz="12" w:space="0" w:color="000000"/>
              <w:left w:val="nil" w:sz="6" w:space="0" w:color="auto"/>
              <w:bottom w:val="single" w:sz="4" w:space="0" w:color="000000"/>
              <w:right w:val="nil" w:sz="6" w:space="0" w:color="auto"/>
            </w:tcBorders>
          </w:tcPr>
          <w:p>
            <w:pPr>
              <w:spacing w:before="93" w:after="0" w:line="240" w:lineRule="auto"/>
              <w:ind w:left="39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10°C</w:t>
            </w:r>
            <w:r>
              <w:rPr>
                <w:rFonts w:ascii="Arial Unicode MS" w:hAnsi="Arial Unicode MS" w:cs="Arial Unicode MS" w:eastAsia="Arial Unicode MS"/>
                <w:spacing w:val="0"/>
                <w:w w:val="100"/>
                <w:sz w:val="14"/>
                <w:szCs w:val="14"/>
              </w:rPr>
            </w:r>
          </w:p>
        </w:tc>
        <w:tc>
          <w:tcPr>
            <w:tcW w:w="1440" w:type="dxa"/>
            <w:tcBorders>
              <w:top w:val="single" w:sz="12" w:space="0" w:color="000000"/>
              <w:left w:val="nil" w:sz="6" w:space="0" w:color="auto"/>
              <w:bottom w:val="single" w:sz="4" w:space="0" w:color="000000"/>
              <w:right w:val="nil" w:sz="6" w:space="0" w:color="auto"/>
            </w:tcBorders>
          </w:tcPr>
          <w:p>
            <w:pPr>
              <w:spacing w:before="93" w:after="0" w:line="240" w:lineRule="auto"/>
              <w:ind w:left="535" w:right="51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15°C</w:t>
            </w:r>
            <w:r>
              <w:rPr>
                <w:rFonts w:ascii="Arial Unicode MS" w:hAnsi="Arial Unicode MS" w:cs="Arial Unicode MS" w:eastAsia="Arial Unicode MS"/>
                <w:spacing w:val="0"/>
                <w:w w:val="100"/>
                <w:sz w:val="14"/>
                <w:szCs w:val="14"/>
              </w:rPr>
            </w:r>
          </w:p>
        </w:tc>
        <w:tc>
          <w:tcPr>
            <w:tcW w:w="1440" w:type="dxa"/>
            <w:tcBorders>
              <w:top w:val="single" w:sz="12" w:space="0" w:color="000000"/>
              <w:left w:val="nil" w:sz="6" w:space="0" w:color="auto"/>
              <w:bottom w:val="single" w:sz="4" w:space="0" w:color="000000"/>
              <w:right w:val="nil" w:sz="6" w:space="0" w:color="auto"/>
            </w:tcBorders>
          </w:tcPr>
          <w:p>
            <w:pPr>
              <w:spacing w:before="93" w:after="0" w:line="240" w:lineRule="auto"/>
              <w:ind w:left="535" w:right="51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25°C</w:t>
            </w:r>
            <w:r>
              <w:rPr>
                <w:rFonts w:ascii="Arial Unicode MS" w:hAnsi="Arial Unicode MS" w:cs="Arial Unicode MS" w:eastAsia="Arial Unicode MS"/>
                <w:spacing w:val="0"/>
                <w:w w:val="100"/>
                <w:sz w:val="14"/>
                <w:szCs w:val="14"/>
              </w:rPr>
            </w:r>
          </w:p>
        </w:tc>
        <w:tc>
          <w:tcPr>
            <w:tcW w:w="1435" w:type="dxa"/>
            <w:tcBorders>
              <w:top w:val="single" w:sz="12" w:space="0" w:color="000000"/>
              <w:left w:val="nil" w:sz="6" w:space="0" w:color="auto"/>
              <w:bottom w:val="single" w:sz="4" w:space="0" w:color="000000"/>
              <w:right w:val="nil" w:sz="6" w:space="0" w:color="auto"/>
            </w:tcBorders>
          </w:tcPr>
          <w:p>
            <w:pPr>
              <w:spacing w:before="93" w:after="0" w:line="240" w:lineRule="auto"/>
              <w:ind w:left="535" w:right="507"/>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35°C</w:t>
            </w:r>
            <w:r>
              <w:rPr>
                <w:rFonts w:ascii="Arial Unicode MS" w:hAnsi="Arial Unicode MS" w:cs="Arial Unicode MS" w:eastAsia="Arial Unicode MS"/>
                <w:spacing w:val="0"/>
                <w:w w:val="100"/>
                <w:sz w:val="14"/>
                <w:szCs w:val="14"/>
              </w:rPr>
            </w:r>
          </w:p>
        </w:tc>
      </w:tr>
      <w:tr>
        <w:trPr>
          <w:trHeight w:val="826" w:hRule="exact"/>
        </w:trPr>
        <w:tc>
          <w:tcPr>
            <w:tcW w:w="2351" w:type="dxa"/>
            <w:tcBorders>
              <w:top w:val="nil" w:sz="6" w:space="0" w:color="auto"/>
              <w:left w:val="nil" w:sz="6" w:space="0" w:color="auto"/>
              <w:bottom w:val="nil" w:sz="6" w:space="0" w:color="auto"/>
              <w:right w:val="nil" w:sz="6" w:space="0" w:color="auto"/>
            </w:tcBorders>
          </w:tcPr>
          <w:p>
            <w:pPr>
              <w:spacing w:before="3" w:after="0" w:line="242" w:lineRule="auto"/>
              <w:ind w:left="50" w:right="1063"/>
              <w:jc w:val="both"/>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表干</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[ISO</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1517:73]</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硬干</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[ISO</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9117:90]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凝胶时间</w:t>
            </w:r>
          </w:p>
        </w:tc>
        <w:tc>
          <w:tcPr>
            <w:tcW w:w="1265" w:type="dxa"/>
            <w:tcBorders>
              <w:top w:val="single" w:sz="4" w:space="0" w:color="000000"/>
              <w:left w:val="nil" w:sz="6" w:space="0" w:color="auto"/>
              <w:bottom w:val="nil" w:sz="6" w:space="0" w:color="auto"/>
              <w:right w:val="nil" w:sz="6" w:space="0" w:color="auto"/>
            </w:tcBorders>
          </w:tcPr>
          <w:p>
            <w:pPr>
              <w:spacing w:before="3" w:after="0" w:line="240" w:lineRule="auto"/>
              <w:ind w:left="30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15</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30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36</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34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1440" w:type="dxa"/>
            <w:tcBorders>
              <w:top w:val="single" w:sz="4" w:space="0" w:color="000000"/>
              <w:left w:val="nil" w:sz="6" w:space="0" w:color="auto"/>
              <w:bottom w:val="nil" w:sz="6" w:space="0" w:color="auto"/>
              <w:right w:val="nil" w:sz="6" w:space="0" w:color="auto"/>
            </w:tcBorders>
          </w:tcPr>
          <w:p>
            <w:pPr>
              <w:spacing w:before="3" w:after="0" w:line="240" w:lineRule="auto"/>
              <w:ind w:left="45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12</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90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r>
          </w:p>
        </w:tc>
        <w:tc>
          <w:tcPr>
            <w:tcW w:w="1440" w:type="dxa"/>
            <w:tcBorders>
              <w:top w:val="single" w:sz="4" w:space="0" w:color="000000"/>
              <w:left w:val="nil" w:sz="6" w:space="0" w:color="auto"/>
              <w:bottom w:val="nil" w:sz="6" w:space="0" w:color="auto"/>
              <w:right w:val="nil" w:sz="6" w:space="0" w:color="auto"/>
            </w:tcBorders>
          </w:tcPr>
          <w:p>
            <w:pPr>
              <w:spacing w:before="3" w:after="0" w:line="240" w:lineRule="auto"/>
              <w:ind w:left="490" w:right="473"/>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8</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18</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60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r>
          </w:p>
        </w:tc>
        <w:tc>
          <w:tcPr>
            <w:tcW w:w="1435" w:type="dxa"/>
            <w:tcBorders>
              <w:top w:val="single" w:sz="4" w:space="0" w:color="000000"/>
              <w:left w:val="nil" w:sz="6" w:space="0" w:color="auto"/>
              <w:bottom w:val="nil" w:sz="6" w:space="0" w:color="auto"/>
              <w:right w:val="nil" w:sz="6" w:space="0" w:color="auto"/>
            </w:tcBorders>
          </w:tcPr>
          <w:p>
            <w:pPr>
              <w:spacing w:before="3" w:after="0" w:line="240" w:lineRule="auto"/>
              <w:ind w:left="490" w:right="46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5</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90" w:right="46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8</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2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45</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r>
          </w:p>
        </w:tc>
      </w:tr>
    </w:tbl>
    <w:p>
      <w:pPr>
        <w:tabs>
          <w:tab w:pos="6520" w:val="left"/>
        </w:tabs>
        <w:spacing w:before="55" w:after="0" w:line="374" w:lineRule="exact"/>
        <w:ind w:left="2291"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复涂数据－见“限定”一节</w:t>
        <w:tab/>
      </w:r>
      <w:r>
        <w:rPr>
          <w:rFonts w:ascii="Arial Unicode MS" w:hAnsi="Arial Unicode MS" w:cs="Arial Unicode MS" w:eastAsia="Arial Unicode MS"/>
          <w:spacing w:val="0"/>
          <w:w w:val="100"/>
          <w:position w:val="-1"/>
          <w:sz w:val="22"/>
          <w:szCs w:val="22"/>
        </w:rPr>
        <w:t>底材温度</w:t>
      </w:r>
      <w:r>
        <w:rPr>
          <w:rFonts w:ascii="Arial Unicode MS" w:hAnsi="Arial Unicode MS" w:cs="Arial Unicode MS" w:eastAsia="Arial Unicode MS"/>
          <w:spacing w:val="0"/>
          <w:w w:val="100"/>
          <w:position w:val="0"/>
          <w:sz w:val="22"/>
          <w:szCs w:val="22"/>
        </w:rPr>
      </w:r>
    </w:p>
    <w:p>
      <w:pPr>
        <w:tabs>
          <w:tab w:pos="6400" w:val="left"/>
          <w:tab w:pos="7840" w:val="left"/>
          <w:tab w:pos="9280" w:val="left"/>
        </w:tabs>
        <w:spacing w:before="0" w:after="0" w:line="133" w:lineRule="exact"/>
        <w:ind w:left="496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10°C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15°C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25°C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35°C</w:t>
      </w:r>
      <w:r>
        <w:rPr>
          <w:rFonts w:ascii="Arial Unicode MS" w:hAnsi="Arial Unicode MS" w:cs="Arial Unicode MS" w:eastAsia="Arial Unicode MS"/>
          <w:spacing w:val="0"/>
          <w:w w:val="100"/>
          <w:sz w:val="14"/>
          <w:szCs w:val="14"/>
        </w:rPr>
      </w:r>
    </w:p>
    <w:p>
      <w:pPr>
        <w:spacing w:line="133" w:lineRule="exact" w:after="0"/>
        <w:jc w:val="left"/>
        <w:rPr>
          <w:rFonts w:ascii="Arial Unicode MS" w:hAnsi="Arial Unicode MS" w:cs="Arial Unicode MS" w:eastAsia="Arial Unicode MS"/>
          <w:sz w:val="14"/>
          <w:szCs w:val="14"/>
        </w:rPr>
        <w:sectPr>
          <w:type w:val="continuous"/>
          <w:pgSz w:w="11900" w:h="16820"/>
          <w:pgMar w:top="1040" w:bottom="1780" w:left="620" w:right="540"/>
        </w:sectPr>
      </w:pPr>
    </w:p>
    <w:p>
      <w:pPr>
        <w:spacing w:before="66" w:after="0" w:line="233" w:lineRule="exact"/>
        <w:ind w:right="-20"/>
        <w:jc w:val="righ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复涂下列产品时</w:t>
      </w:r>
      <w:r>
        <w:rPr>
          <w:rFonts w:ascii="Arial Unicode MS" w:hAnsi="Arial Unicode MS" w:cs="Arial Unicode MS" w:eastAsia="Arial Unicode MS"/>
          <w:spacing w:val="0"/>
          <w:w w:val="100"/>
          <w:position w:val="0"/>
          <w:sz w:val="14"/>
          <w:szCs w:val="14"/>
        </w:rPr>
      </w:r>
    </w:p>
    <w:p>
      <w:pPr>
        <w:tabs>
          <w:tab w:pos="720" w:val="left"/>
          <w:tab w:pos="1440" w:val="left"/>
          <w:tab w:pos="2160" w:val="left"/>
          <w:tab w:pos="2880" w:val="left"/>
          <w:tab w:pos="3600" w:val="left"/>
          <w:tab w:pos="4320" w:val="left"/>
          <w:tab w:pos="5040" w:val="left"/>
        </w:tabs>
        <w:spacing w:before="37" w:after="0" w:line="240" w:lineRule="auto"/>
        <w:ind w:right="-20"/>
        <w:jc w:val="left"/>
        <w:rPr>
          <w:rFonts w:ascii="Arial Unicode MS" w:hAnsi="Arial Unicode MS" w:cs="Arial Unicode MS" w:eastAsia="Arial Unicode MS"/>
          <w:sz w:val="14"/>
          <w:szCs w:val="14"/>
        </w:rPr>
      </w:pPr>
      <w:r>
        <w:rPr/>
        <w:br w:type="column"/>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r>
    </w:p>
    <w:p>
      <w:pPr>
        <w:spacing w:line="240" w:lineRule="auto" w:after="0"/>
        <w:jc w:val="left"/>
        <w:rPr>
          <w:rFonts w:ascii="Arial Unicode MS" w:hAnsi="Arial Unicode MS" w:cs="Arial Unicode MS" w:eastAsia="Arial Unicode MS"/>
          <w:sz w:val="14"/>
          <w:szCs w:val="14"/>
        </w:rPr>
        <w:sectPr>
          <w:type w:val="continuous"/>
          <w:pgSz w:w="11900" w:h="16820"/>
          <w:pgMar w:top="1040" w:bottom="1780" w:left="620" w:right="540"/>
          <w:cols w:num="2" w:equalWidth="0">
            <w:col w:w="3215" w:space="1404"/>
            <w:col w:w="6121"/>
          </w:cols>
        </w:sectPr>
      </w:pPr>
    </w:p>
    <w:p>
      <w:pPr>
        <w:spacing w:before="0" w:after="0" w:line="220" w:lineRule="exact"/>
        <w:jc w:val="left"/>
        <w:rPr>
          <w:sz w:val="22"/>
          <w:szCs w:val="22"/>
        </w:rPr>
      </w:pPr>
      <w:r>
        <w:rPr>
          <w:sz w:val="22"/>
          <w:szCs w:val="22"/>
        </w:rPr>
      </w:r>
    </w:p>
    <w:p>
      <w:pPr>
        <w:tabs>
          <w:tab w:pos="4520" w:val="left"/>
          <w:tab w:pos="5340" w:val="left"/>
          <w:tab w:pos="5960" w:val="left"/>
          <w:tab w:pos="6780" w:val="left"/>
          <w:tab w:pos="7420" w:val="left"/>
          <w:tab w:pos="8120" w:val="left"/>
          <w:tab w:pos="8860" w:val="left"/>
          <w:tab w:pos="9560" w:val="left"/>
        </w:tabs>
        <w:spacing w:before="0" w:after="0" w:line="200" w:lineRule="exact"/>
        <w:ind w:left="2235" w:right="-20"/>
        <w:jc w:val="left"/>
        <w:rPr>
          <w:rFonts w:ascii="Arial Unicode MS" w:hAnsi="Arial Unicode MS" w:cs="Arial Unicode MS" w:eastAsia="Arial Unicode MS"/>
          <w:sz w:val="14"/>
          <w:szCs w:val="14"/>
        </w:rPr>
      </w:pPr>
      <w:r>
        <w:rPr/>
        <w:pict>
          <v:group style="position:absolute;margin-left:259.730011pt;margin-top:-1.937016pt;width:274.5pt;height:.1pt;mso-position-horizontal-relative:page;mso-position-vertical-relative:paragraph;z-index:-357" coordorigin="5195,-39" coordsize="5490,2">
            <v:shape style="position:absolute;left:5195;top:-39;width:5490;height:2" coordorigin="5195,-39" coordsize="5490,0" path="m5195,-39l10685,-39e" filled="f" stroked="t" strokeweight=".5pt" strokecolor="#000000">
              <v:path arrowok="t"/>
            </v:shape>
            <w10:wrap type="none"/>
          </v:group>
        </w:pict>
      </w:r>
      <w:r>
        <w:rPr>
          <w:rFonts w:ascii="Arial Unicode MS" w:hAnsi="Arial Unicode MS" w:cs="Arial Unicode MS" w:eastAsia="Arial Unicode MS"/>
          <w:spacing w:val="0"/>
          <w:w w:val="100"/>
          <w:position w:val="0"/>
          <w:sz w:val="14"/>
          <w:szCs w:val="14"/>
        </w:rPr>
        <w:t>Interline</w:t>
      </w:r>
      <w:r>
        <w:rPr>
          <w:rFonts w:ascii="Arial Unicode MS" w:hAnsi="Arial Unicode MS" w:cs="Arial Unicode MS" w:eastAsia="Arial Unicode MS"/>
          <w:spacing w:val="-5"/>
          <w:w w:val="100"/>
          <w:position w:val="0"/>
          <w:sz w:val="14"/>
          <w:szCs w:val="14"/>
        </w:rPr>
        <w:t> </w:t>
      </w:r>
      <w:r>
        <w:rPr>
          <w:rFonts w:ascii="Arial Unicode MS" w:hAnsi="Arial Unicode MS" w:cs="Arial Unicode MS" w:eastAsia="Arial Unicode MS"/>
          <w:spacing w:val="0"/>
          <w:w w:val="100"/>
          <w:position w:val="0"/>
          <w:sz w:val="14"/>
          <w:szCs w:val="14"/>
        </w:rPr>
        <w:t>925</w:t>
        <w:tab/>
      </w:r>
      <w:r>
        <w:rPr>
          <w:rFonts w:ascii="Arial Unicode MS" w:hAnsi="Arial Unicode MS" w:cs="Arial Unicode MS" w:eastAsia="Arial Unicode MS"/>
          <w:spacing w:val="0"/>
          <w:w w:val="100"/>
          <w:position w:val="0"/>
          <w:sz w:val="14"/>
          <w:szCs w:val="14"/>
        </w:rPr>
        <w:t>36</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5</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天</w:t>
        <w:tab/>
      </w:r>
      <w:r>
        <w:rPr>
          <w:rFonts w:ascii="Arial Unicode MS" w:hAnsi="Arial Unicode MS" w:cs="Arial Unicode MS" w:eastAsia="Arial Unicode MS"/>
          <w:spacing w:val="0"/>
          <w:w w:val="100"/>
          <w:position w:val="0"/>
          <w:sz w:val="14"/>
          <w:szCs w:val="14"/>
        </w:rPr>
        <w:t>24</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3</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天</w:t>
        <w:tab/>
      </w:r>
      <w:r>
        <w:rPr>
          <w:rFonts w:ascii="Arial Unicode MS" w:hAnsi="Arial Unicode MS" w:cs="Arial Unicode MS" w:eastAsia="Arial Unicode MS"/>
          <w:spacing w:val="0"/>
          <w:w w:val="100"/>
          <w:position w:val="0"/>
          <w:sz w:val="14"/>
          <w:szCs w:val="14"/>
        </w:rPr>
        <w:t>18</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36</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8</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16</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r>
      <w:r>
        <w:rPr>
          <w:rFonts w:ascii="Arial Unicode MS" w:hAnsi="Arial Unicode MS" w:cs="Arial Unicode MS" w:eastAsia="Arial Unicode MS"/>
          <w:spacing w:val="0"/>
          <w:w w:val="100"/>
          <w:position w:val="0"/>
          <w:sz w:val="14"/>
          <w:szCs w:val="14"/>
        </w:rPr>
      </w:r>
    </w:p>
    <w:p>
      <w:pPr>
        <w:spacing w:before="7" w:after="0" w:line="180" w:lineRule="exact"/>
        <w:jc w:val="left"/>
        <w:rPr>
          <w:sz w:val="18"/>
          <w:szCs w:val="18"/>
        </w:rPr>
      </w:pPr>
      <w:r>
        <w:rPr>
          <w:sz w:val="18"/>
          <w:szCs w:val="18"/>
        </w:rPr>
      </w:r>
    </w:p>
    <w:p>
      <w:pPr>
        <w:spacing w:before="0" w:after="0" w:line="200" w:lineRule="exact"/>
        <w:ind w:left="2235" w:right="-20"/>
        <w:jc w:val="left"/>
        <w:rPr>
          <w:rFonts w:ascii="Arial Unicode MS" w:hAnsi="Arial Unicode MS" w:cs="Arial Unicode MS" w:eastAsia="Arial Unicode MS"/>
          <w:sz w:val="14"/>
          <w:szCs w:val="14"/>
        </w:rPr>
      </w:pPr>
      <w:r>
        <w:rPr/>
        <w:pict>
          <v:group style="position:absolute;margin-left:144.770004pt;margin-top:19.776283pt;width:411.75pt;height:.140pt;mso-position-horizontal-relative:page;mso-position-vertical-relative:paragraph;z-index:-359" coordorigin="2895,396" coordsize="8235,3">
            <v:shape style="position:absolute;left:2895;top:396;width:8235;height:3" coordorigin="2895,396" coordsize="8235,3" path="m2895,396l11130,398e" filled="f" stroked="t" strokeweight="1.5pt" strokecolor="#000000">
              <v:path arrowok="t"/>
            </v:shape>
            <w10:wrap type="none"/>
          </v:group>
        </w:pict>
      </w:r>
      <w:r>
        <w:rPr>
          <w:rFonts w:ascii="Arial Unicode MS" w:hAnsi="Arial Unicode MS" w:cs="Arial Unicode MS" w:eastAsia="Arial Unicode MS"/>
          <w:spacing w:val="0"/>
          <w:w w:val="100"/>
          <w:position w:val="0"/>
          <w:sz w:val="14"/>
          <w:szCs w:val="14"/>
        </w:rPr>
        <w:t>注解</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14"/>
          <w:w w:val="100"/>
          <w:position w:val="0"/>
          <w:sz w:val="14"/>
          <w:szCs w:val="14"/>
        </w:rPr>
        <w:t> </w:t>
      </w:r>
      <w:r>
        <w:rPr>
          <w:rFonts w:ascii="Arial Unicode MS" w:hAnsi="Arial Unicode MS" w:cs="Arial Unicode MS" w:eastAsia="Arial Unicode MS"/>
          <w:spacing w:val="0"/>
          <w:w w:val="100"/>
          <w:position w:val="0"/>
          <w:sz w:val="14"/>
          <w:szCs w:val="14"/>
        </w:rPr>
        <w:t>用于非海洋环境施工时，适于采用不同的复涂间隔时间－参阅国际牌工业防腐涂料</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Interline</w:t>
      </w:r>
      <w:r>
        <w:rPr>
          <w:rFonts w:ascii="Arial Unicode MS" w:hAnsi="Arial Unicode MS" w:cs="Arial Unicode MS" w:eastAsia="Arial Unicode MS"/>
          <w:spacing w:val="-5"/>
          <w:w w:val="100"/>
          <w:position w:val="0"/>
          <w:sz w:val="14"/>
          <w:szCs w:val="14"/>
        </w:rPr>
        <w:t> </w:t>
      </w:r>
      <w:r>
        <w:rPr>
          <w:rFonts w:ascii="Arial Unicode MS" w:hAnsi="Arial Unicode MS" w:cs="Arial Unicode MS" w:eastAsia="Arial Unicode MS"/>
          <w:spacing w:val="0"/>
          <w:w w:val="100"/>
          <w:position w:val="0"/>
          <w:sz w:val="14"/>
          <w:szCs w:val="14"/>
        </w:rPr>
        <w:t>925</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的产品说明书。</w:t>
      </w:r>
      <w:r>
        <w:rPr>
          <w:rFonts w:ascii="Arial Unicode MS" w:hAnsi="Arial Unicode MS" w:cs="Arial Unicode MS" w:eastAsia="Arial Unicode MS"/>
          <w:spacing w:val="0"/>
          <w:w w:val="100"/>
          <w:position w:val="0"/>
          <w:sz w:val="14"/>
          <w:szCs w:val="14"/>
        </w:rPr>
      </w:r>
    </w:p>
    <w:p>
      <w:pPr>
        <w:spacing w:before="8" w:after="0" w:line="280" w:lineRule="exact"/>
        <w:jc w:val="left"/>
        <w:rPr>
          <w:sz w:val="28"/>
          <w:szCs w:val="28"/>
        </w:rPr>
      </w:pPr>
      <w:r>
        <w:rPr>
          <w:sz w:val="28"/>
          <w:szCs w:val="28"/>
        </w:rPr>
      </w:r>
    </w:p>
    <w:p>
      <w:pPr>
        <w:spacing w:line="280" w:lineRule="exact" w:after="0"/>
        <w:jc w:val="left"/>
        <w:rPr>
          <w:sz w:val="28"/>
          <w:szCs w:val="28"/>
        </w:rPr>
        <w:sectPr>
          <w:type w:val="continuous"/>
          <w:pgSz w:w="11900" w:h="16820"/>
          <w:pgMar w:top="1040" w:bottom="1780" w:left="620" w:right="540"/>
        </w:sectPr>
      </w:pPr>
    </w:p>
    <w:p>
      <w:pPr>
        <w:tabs>
          <w:tab w:pos="2380" w:val="left"/>
        </w:tabs>
        <w:spacing w:before="0" w:after="0" w:line="299" w:lineRule="exact"/>
        <w:ind w:left="137" w:right="-73"/>
        <w:jc w:val="left"/>
        <w:rPr>
          <w:rFonts w:ascii="Arial Unicode MS" w:hAnsi="Arial Unicode MS" w:cs="Arial Unicode MS" w:eastAsia="Arial Unicode MS"/>
          <w:sz w:val="22"/>
          <w:szCs w:val="22"/>
        </w:rPr>
      </w:pPr>
      <w:r>
        <w:rPr/>
        <w:pict>
          <v:group style="position:absolute;margin-left:37.849998pt;margin-top:2.504724pt;width:525.6pt;height:43.5922pt;mso-position-horizontal-relative:page;mso-position-vertical-relative:paragraph;z-index:-356" coordorigin="757,50" coordsize="10512,872">
            <v:shape style="position:absolute;left:757;top:50;width:10512;height:872" coordorigin="757,50" coordsize="10512,872" path="m757,922l11269,922,11269,50,757,50,757,922xe" filled="t" fillcolor="#D2D2D2" stroked="f">
              <v:path arrowok="t"/>
              <v:fill/>
            </v:shape>
            <w10:wrap type="none"/>
          </v:group>
        </w:pict>
      </w:r>
      <w:r>
        <w:rPr>
          <w:rFonts w:ascii="Arial Unicode MS" w:hAnsi="Arial Unicode MS" w:cs="Arial Unicode MS" w:eastAsia="Arial Unicode MS"/>
          <w:spacing w:val="0"/>
          <w:w w:val="100"/>
          <w:sz w:val="22"/>
          <w:szCs w:val="22"/>
        </w:rPr>
        <w:t>法定数据</w:t>
        <w:tab/>
      </w:r>
      <w:r>
        <w:rPr>
          <w:rFonts w:ascii="Arial Unicode MS" w:hAnsi="Arial Unicode MS" w:cs="Arial Unicode MS" w:eastAsia="Arial Unicode MS"/>
          <w:spacing w:val="0"/>
          <w:w w:val="100"/>
          <w:sz w:val="22"/>
          <w:szCs w:val="22"/>
        </w:rPr>
        <w:t>挥发性有机化合物</w:t>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125</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克/公升(原装涂料)</w:t>
      </w:r>
      <w:r>
        <w:rPr>
          <w:rFonts w:ascii="Arial Unicode MS" w:hAnsi="Arial Unicode MS" w:cs="Arial Unicode MS" w:eastAsia="Arial Unicode MS"/>
          <w:spacing w:val="-13"/>
          <w:w w:val="100"/>
          <w:sz w:val="16"/>
          <w:szCs w:val="16"/>
        </w:rPr>
        <w:t> </w:t>
      </w:r>
      <w:r>
        <w:rPr>
          <w:rFonts w:ascii="Arial Unicode MS" w:hAnsi="Arial Unicode MS" w:cs="Arial Unicode MS" w:eastAsia="Arial Unicode MS"/>
          <w:spacing w:val="0"/>
          <w:w w:val="100"/>
          <w:sz w:val="16"/>
          <w:szCs w:val="16"/>
        </w:rPr>
        <w:t>(EPA</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方法</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24)</w:t>
      </w:r>
    </w:p>
    <w:p>
      <w:pPr>
        <w:spacing w:before="0" w:after="0" w:line="203"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16"/>
          <w:szCs w:val="16"/>
        </w:rPr>
        <w:t>23</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99"/>
          <w:position w:val="0"/>
          <w:sz w:val="16"/>
          <w:szCs w:val="16"/>
        </w:rPr>
        <w:t>克/千克(原装液体油漆)。欧盟溶剂排放指导</w:t>
      </w:r>
      <w:r>
        <w:rPr>
          <w:rFonts w:ascii="Arial Unicode MS" w:hAnsi="Arial Unicode MS" w:cs="Arial Unicode MS" w:eastAsia="Arial Unicode MS"/>
          <w:spacing w:val="0"/>
          <w:w w:val="99"/>
          <w:position w:val="0"/>
          <w:sz w:val="16"/>
          <w:szCs w:val="16"/>
        </w:rPr>
        <w:t> </w:t>
      </w:r>
      <w:r>
        <w:rPr>
          <w:rFonts w:ascii="Arial Unicode MS" w:hAnsi="Arial Unicode MS" w:cs="Arial Unicode MS" w:eastAsia="Arial Unicode MS"/>
          <w:spacing w:val="0"/>
          <w:w w:val="100"/>
          <w:position w:val="0"/>
          <w:sz w:val="16"/>
          <w:szCs w:val="16"/>
        </w:rPr>
        <w:t>(委员会指导</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1999/13/EC)</w:t>
      </w:r>
      <w:r>
        <w:rPr>
          <w:rFonts w:ascii="Arial Unicode MS" w:hAnsi="Arial Unicode MS" w:cs="Arial Unicode MS" w:eastAsia="Arial Unicode MS"/>
          <w:spacing w:val="0"/>
          <w:w w:val="100"/>
          <w:position w:val="0"/>
          <w:sz w:val="16"/>
          <w:szCs w:val="16"/>
        </w:rPr>
      </w:r>
    </w:p>
    <w:p>
      <w:pPr>
        <w:spacing w:line="203" w:lineRule="exact"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4148" w:space="669"/>
            <w:col w:w="5923"/>
          </w:cols>
        </w:sectPr>
      </w:pPr>
    </w:p>
    <w:p>
      <w:pPr>
        <w:spacing w:before="15" w:after="0" w:line="185" w:lineRule="auto"/>
        <w:ind w:left="2388" w:right="45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挥发性有机化合物值是典型值，仅提供用来作为参考。它们可能会随着诸如颜色和常规制造误差之类因素的改变</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而发生变化。</w:t>
      </w:r>
    </w:p>
    <w:p>
      <w:pPr>
        <w:spacing w:line="185" w:lineRule="auto" w:after="0"/>
        <w:jc w:val="left"/>
        <w:rPr>
          <w:rFonts w:ascii="Arial Unicode MS" w:hAnsi="Arial Unicode MS" w:cs="Arial Unicode MS" w:eastAsia="Arial Unicode MS"/>
          <w:sz w:val="16"/>
          <w:szCs w:val="16"/>
        </w:rPr>
        <w:sectPr>
          <w:type w:val="continuous"/>
          <w:pgSz w:w="11900" w:h="16820"/>
          <w:pgMar w:top="1040" w:bottom="1780" w:left="620" w:right="540"/>
        </w:sectPr>
      </w:pPr>
    </w:p>
    <w:p>
      <w:pPr>
        <w:tabs>
          <w:tab w:pos="2280" w:val="left"/>
        </w:tabs>
        <w:spacing w:before="37" w:after="0" w:line="240" w:lineRule="auto"/>
        <w:ind w:left="13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证书</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当作为已核准的方案的一部分使用时，该涂料具有下列证书：</w:t>
      </w:r>
    </w:p>
    <w:p>
      <w:pPr>
        <w:spacing w:before="85" w:after="0" w:line="240" w:lineRule="auto"/>
        <w:ind w:left="238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饮用水</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装载饮水舱(WRC)(BS6920：第一部分)</w:t>
      </w:r>
      <w:r>
        <w:rPr>
          <w:rFonts w:ascii="Arial Unicode MS" w:hAnsi="Arial Unicode MS" w:cs="Arial Unicode MS" w:eastAsia="Arial Unicode MS"/>
          <w:spacing w:val="0"/>
          <w:w w:val="100"/>
          <w:sz w:val="16"/>
          <w:szCs w:val="16"/>
        </w:rPr>
      </w:r>
    </w:p>
    <w:p>
      <w:pPr>
        <w:spacing w:before="0" w:after="0" w:line="214" w:lineRule="exact"/>
        <w:ind w:left="238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饮用水</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1000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加仑以上饮水舱证书</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(ANSI</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标准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61)</w:t>
      </w:r>
    </w:p>
    <w:p>
      <w:pPr>
        <w:spacing w:before="0" w:after="0" w:line="214" w:lineRule="exact"/>
        <w:ind w:left="238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饮用水</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海上装备</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(挪威国家公共卫生协会)</w:t>
      </w:r>
    </w:p>
    <w:p>
      <w:pPr>
        <w:spacing w:before="0" w:after="0" w:line="214" w:lineRule="exact"/>
        <w:ind w:left="238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饮用水</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符合“船舶公共卫生纲要</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(VSP)</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建造业准则”的规定</w:t>
      </w:r>
    </w:p>
    <w:p>
      <w:pPr>
        <w:spacing w:before="0" w:after="0" w:line="214" w:lineRule="exact"/>
        <w:ind w:left="238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饮用水</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可接触非酸性水性食品（类型</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1）（Adolfo</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Lutz</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研究所）</w:t>
      </w:r>
    </w:p>
    <w:p>
      <w:pPr>
        <w:spacing w:before="0" w:after="0" w:line="214" w:lineRule="exact"/>
        <w:ind w:left="238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饮用水</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装载饮用水</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(Folkehelseinstituttet,</w:t>
      </w:r>
      <w:r>
        <w:rPr>
          <w:rFonts w:ascii="Arial Unicode MS" w:hAnsi="Arial Unicode MS" w:cs="Arial Unicode MS" w:eastAsia="Arial Unicode MS"/>
          <w:spacing w:val="-15"/>
          <w:w w:val="100"/>
          <w:sz w:val="16"/>
          <w:szCs w:val="16"/>
        </w:rPr>
        <w:t> </w:t>
      </w:r>
      <w:r>
        <w:rPr>
          <w:rFonts w:ascii="Arial Unicode MS" w:hAnsi="Arial Unicode MS" w:cs="Arial Unicode MS" w:eastAsia="Arial Unicode MS"/>
          <w:spacing w:val="0"/>
          <w:w w:val="100"/>
          <w:sz w:val="16"/>
          <w:szCs w:val="16"/>
        </w:rPr>
        <w:t>挪威)</w:t>
      </w:r>
    </w:p>
    <w:p>
      <w:pPr>
        <w:spacing w:before="5" w:after="0" w:line="200" w:lineRule="exact"/>
        <w:jc w:val="left"/>
        <w:rPr>
          <w:sz w:val="20"/>
          <w:szCs w:val="20"/>
        </w:rPr>
      </w:pPr>
      <w:r>
        <w:rPr>
          <w:sz w:val="20"/>
          <w:szCs w:val="20"/>
        </w:rPr>
      </w:r>
    </w:p>
    <w:p>
      <w:pPr>
        <w:spacing w:before="0" w:after="0" w:line="185" w:lineRule="auto"/>
        <w:ind w:left="2297" w:right="337"/>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外部机构所出具的饮水舱证书取决于配方和/或制造地。鉴于此，不同国家供应的产品可能并未得到上面所列所有标</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准的认可。</w:t>
      </w:r>
    </w:p>
    <w:p>
      <w:pPr>
        <w:spacing w:before="0" w:after="0" w:line="213" w:lineRule="exact"/>
        <w:ind w:left="2297" w:right="-20"/>
        <w:jc w:val="left"/>
        <w:rPr>
          <w:rFonts w:ascii="Arial Unicode MS" w:hAnsi="Arial Unicode MS" w:cs="Arial Unicode MS" w:eastAsia="Arial Unicode MS"/>
          <w:sz w:val="16"/>
          <w:szCs w:val="16"/>
        </w:rPr>
      </w:pPr>
      <w:r>
        <w:rPr/>
        <w:pict>
          <v:group style="position:absolute;margin-left:145.850006pt;margin-top:16.420866pt;width:409.5pt;height:.1pt;mso-position-horizontal-relative:page;mso-position-vertical-relative:paragraph;z-index:-355" coordorigin="2917,328" coordsize="8190,2">
            <v:shape style="position:absolute;left:2917;top:328;width:8190;height:2" coordorigin="2917,328" coordsize="8190,0" path="m2917,328l11107,328e" filled="f" stroked="t" strokeweight="1.5pt" strokecolor="#000000">
              <v:path arrowok="t"/>
            </v:shape>
            <w10:wrap type="none"/>
          </v:group>
        </w:pict>
      </w:r>
      <w:r>
        <w:rPr>
          <w:rFonts w:ascii="Arial Unicode MS" w:hAnsi="Arial Unicode MS" w:cs="Arial Unicode MS" w:eastAsia="Arial Unicode MS"/>
          <w:spacing w:val="0"/>
          <w:w w:val="100"/>
          <w:position w:val="0"/>
          <w:sz w:val="16"/>
          <w:szCs w:val="16"/>
        </w:rPr>
        <w:t>有关详细情况，请向贵处的国际油漆</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(International</w:t>
      </w:r>
      <w:r>
        <w:rPr>
          <w:rFonts w:ascii="Arial Unicode MS" w:hAnsi="Arial Unicode MS" w:cs="Arial Unicode MS" w:eastAsia="Arial Unicode MS"/>
          <w:spacing w:val="-9"/>
          <w:w w:val="100"/>
          <w:position w:val="0"/>
          <w:sz w:val="16"/>
          <w:szCs w:val="16"/>
        </w:rPr>
        <w:t> </w:t>
      </w:r>
      <w:r>
        <w:rPr>
          <w:rFonts w:ascii="Arial Unicode MS" w:hAnsi="Arial Unicode MS" w:cs="Arial Unicode MS" w:eastAsia="Arial Unicode MS"/>
          <w:spacing w:val="0"/>
          <w:w w:val="100"/>
          <w:position w:val="0"/>
          <w:sz w:val="16"/>
          <w:szCs w:val="16"/>
        </w:rPr>
        <w:t>Paint)</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代表咨询。</w:t>
      </w:r>
      <w:r>
        <w:rPr>
          <w:rFonts w:ascii="Arial Unicode MS" w:hAnsi="Arial Unicode MS" w:cs="Arial Unicode MS" w:eastAsia="Arial Unicode MS"/>
          <w:spacing w:val="0"/>
          <w:w w:val="100"/>
          <w:position w:val="0"/>
          <w:sz w:val="16"/>
          <w:szCs w:val="16"/>
        </w:rPr>
      </w:r>
    </w:p>
    <w:p>
      <w:pPr>
        <w:spacing w:before="0" w:after="0" w:line="190" w:lineRule="exact"/>
        <w:jc w:val="left"/>
        <w:rPr>
          <w:sz w:val="19"/>
          <w:szCs w:val="19"/>
        </w:rPr>
      </w:pPr>
      <w:r>
        <w:rPr>
          <w:sz w:val="19"/>
          <w:szCs w:val="19"/>
        </w:rPr>
      </w:r>
    </w:p>
    <w:p>
      <w:pPr>
        <w:spacing w:line="190" w:lineRule="exact" w:after="0"/>
        <w:jc w:val="left"/>
        <w:rPr>
          <w:sz w:val="19"/>
          <w:szCs w:val="19"/>
        </w:rPr>
        <w:sectPr>
          <w:headerReference w:type="default" r:id="rId7"/>
          <w:pgSz w:w="11900" w:h="16820"/>
          <w:pgMar w:header="299" w:footer="1582" w:top="1040" w:bottom="1780" w:left="620" w:right="540"/>
        </w:sectPr>
      </w:pPr>
    </w:p>
    <w:p>
      <w:pPr>
        <w:spacing w:before="0" w:after="0" w:line="299"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体系及配套性</w:t>
      </w:r>
    </w:p>
    <w:p>
      <w:pPr>
        <w:spacing w:before="7" w:after="0" w:line="185" w:lineRule="auto"/>
        <w:ind w:right="238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有关最适于待保护表面的漆系，请向贵处的国际油漆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代表咨询。</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用于饮水舱或污水舱时，请参阅</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Interline</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925</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饮水舱或污水舱施工程序。</w:t>
      </w:r>
    </w:p>
    <w:p>
      <w:pPr>
        <w:spacing w:line="185" w:lineRule="auto"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1458" w:space="877"/>
            <w:col w:w="8405"/>
          </w:cols>
        </w:sectPr>
      </w:pPr>
    </w:p>
    <w:p>
      <w:pPr>
        <w:spacing w:before="9" w:after="0" w:line="160" w:lineRule="exact"/>
        <w:jc w:val="left"/>
        <w:rPr>
          <w:sz w:val="16"/>
          <w:szCs w:val="16"/>
        </w:rPr>
      </w:pPr>
      <w:r>
        <w:rPr>
          <w:sz w:val="16"/>
          <w:szCs w:val="16"/>
        </w:rPr>
      </w:r>
    </w:p>
    <w:p>
      <w:pPr>
        <w:spacing w:line="160" w:lineRule="exact" w:after="0"/>
        <w:jc w:val="left"/>
        <w:rPr>
          <w:sz w:val="16"/>
          <w:szCs w:val="16"/>
        </w:rPr>
        <w:sectPr>
          <w:type w:val="continuous"/>
          <w:pgSz w:w="11900" w:h="16820"/>
          <w:pgMar w:top="1040" w:bottom="1780" w:left="620" w:right="540"/>
        </w:sectPr>
      </w:pPr>
    </w:p>
    <w:p>
      <w:pPr>
        <w:spacing w:before="0" w:after="0" w:line="299" w:lineRule="exact"/>
        <w:ind w:left="137" w:right="-73"/>
        <w:jc w:val="left"/>
        <w:rPr>
          <w:rFonts w:ascii="Arial Unicode MS" w:hAnsi="Arial Unicode MS" w:cs="Arial Unicode MS" w:eastAsia="Arial Unicode MS"/>
          <w:sz w:val="22"/>
          <w:szCs w:val="22"/>
        </w:rPr>
      </w:pPr>
      <w:r>
        <w:rPr/>
        <w:pict>
          <v:group style="position:absolute;margin-left:145.570007pt;margin-top:-3.756876pt;width:414.0pt;height:.1pt;mso-position-horizontal-relative:page;mso-position-vertical-relative:paragraph;z-index:-354" coordorigin="2911,-75" coordsize="8280,2">
            <v:shape style="position:absolute;left:2911;top:-75;width:8280;height:2" coordorigin="2911,-75" coordsize="8280,0" path="m2911,-75l11191,-75e" filled="f" stroked="t" strokeweight="1.5pt" strokecolor="#000000">
              <v:path arrowok="t"/>
            </v:shape>
            <w10:wrap type="none"/>
          </v:group>
        </w:pict>
      </w:r>
      <w:r>
        <w:rPr>
          <w:rFonts w:ascii="Arial Unicode MS" w:hAnsi="Arial Unicode MS" w:cs="Arial Unicode MS" w:eastAsia="Arial Unicode MS"/>
          <w:spacing w:val="0"/>
          <w:w w:val="100"/>
          <w:sz w:val="22"/>
          <w:szCs w:val="22"/>
        </w:rPr>
        <w:t>表面处理</w:t>
      </w:r>
    </w:p>
    <w:p>
      <w:pPr>
        <w:spacing w:before="7" w:after="0" w:line="185" w:lineRule="auto"/>
        <w:ind w:right="3623"/>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99"/>
          <w:sz w:val="16"/>
          <w:szCs w:val="16"/>
        </w:rPr>
        <w:t>按照标准的“全球海洋规则(Worldwide</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Marine</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Specifications)”使用。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所有待涂表面应清洁、干燥且无污染物。</w:t>
      </w:r>
    </w:p>
    <w:p>
      <w:pPr>
        <w:spacing w:before="0" w:after="0" w:line="185" w:lineRule="auto"/>
        <w:ind w:right="20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采用高压淡水冲洗或一般淡水冲洗，以合适为准，并按照</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SSPC－SP1</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溶剂清理标准除去所有油或油脂、可溶性污染</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物以及其它外来物质。</w:t>
      </w:r>
    </w:p>
    <w:p>
      <w:pPr>
        <w:spacing w:before="18" w:after="0" w:line="240" w:lineRule="auto"/>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新造船</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在需要处，除去焊接飞溅物并磨光焊缝和锐边。</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焊缝和损坏区域应喷砂清理至</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Sa2.5</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99"/>
          <w:sz w:val="16"/>
          <w:szCs w:val="16"/>
        </w:rPr>
        <w:t>8501-1:2007)。完整的车间底漆应采用扫砂处理至国际油漆</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0"/>
          <w:w w:val="100"/>
          <w:sz w:val="16"/>
          <w:szCs w:val="16"/>
        </w:rPr>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标准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99"/>
          <w:sz w:val="16"/>
          <w:szCs w:val="16"/>
        </w:rPr>
        <w:t>AS3，或采用动力工具处理至</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Pt3</w:t>
      </w:r>
      <w:r>
        <w:rPr>
          <w:rFonts w:ascii="Arial Unicode MS" w:hAnsi="Arial Unicode MS" w:cs="Arial Unicode MS" w:eastAsia="Arial Unicode MS"/>
          <w:spacing w:val="-2"/>
          <w:w w:val="100"/>
          <w:sz w:val="16"/>
          <w:szCs w:val="16"/>
        </w:rPr>
        <w:t> </w:t>
      </w:r>
      <w:r>
        <w:rPr>
          <w:rFonts w:ascii="Arial Unicode MS" w:hAnsi="Arial Unicode MS" w:cs="Arial Unicode MS" w:eastAsia="Arial Unicode MS"/>
          <w:spacing w:val="0"/>
          <w:w w:val="100"/>
          <w:sz w:val="16"/>
          <w:szCs w:val="16"/>
        </w:rPr>
        <w:t>(JSRA</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SSPC:1984)</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标准。</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对于</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PVB</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(聚乙烯醇缩丁醛)和未经核准的车间底漆，表面应喷砂清理至</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Sa2.5</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8501-1:2007)</w:t>
      </w:r>
      <w:r>
        <w:rPr>
          <w:rFonts w:ascii="Arial Unicode MS" w:hAnsi="Arial Unicode MS" w:cs="Arial Unicode MS" w:eastAsia="Arial Unicode MS"/>
          <w:spacing w:val="-10"/>
          <w:w w:val="100"/>
          <w:sz w:val="16"/>
          <w:szCs w:val="16"/>
        </w:rPr>
        <w:t> </w:t>
      </w:r>
      <w:r>
        <w:rPr>
          <w:rFonts w:ascii="Arial Unicode MS" w:hAnsi="Arial Unicode MS" w:cs="Arial Unicode MS" w:eastAsia="Arial Unicode MS"/>
          <w:spacing w:val="0"/>
          <w:w w:val="100"/>
          <w:sz w:val="16"/>
          <w:szCs w:val="16"/>
        </w:rPr>
        <w:t>标准。</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z w:val="16"/>
          <w:szCs w:val="16"/>
        </w:rPr>
      </w:r>
      <w:r>
        <w:rPr>
          <w:rFonts w:ascii="Arial Unicode MS" w:hAnsi="Arial Unicode MS" w:cs="Arial Unicode MS" w:eastAsia="Arial Unicode MS"/>
          <w:spacing w:val="0"/>
          <w:w w:val="100"/>
          <w:sz w:val="16"/>
          <w:szCs w:val="16"/>
          <w:u w:val="single" w:color="000000"/>
        </w:rPr>
        <w:t>注意事项</w:t>
      </w:r>
      <w:r>
        <w:rPr>
          <w:rFonts w:ascii="Arial Unicode MS" w:hAnsi="Arial Unicode MS" w:cs="Arial Unicode MS" w:eastAsia="Arial Unicode MS"/>
          <w:spacing w:val="0"/>
          <w:w w:val="100"/>
          <w:sz w:val="16"/>
          <w:szCs w:val="16"/>
        </w:rPr>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对于饮水舱，整个液舱必须喷砂清理至少至</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Sa2.5</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8501-1:2007)标准。</w:t>
      </w:r>
      <w:r>
        <w:rPr>
          <w:rFonts w:ascii="Arial Unicode MS" w:hAnsi="Arial Unicode MS" w:cs="Arial Unicode MS" w:eastAsia="Arial Unicode MS"/>
          <w:spacing w:val="0"/>
          <w:w w:val="100"/>
          <w:sz w:val="16"/>
          <w:szCs w:val="16"/>
        </w:rPr>
      </w:r>
    </w:p>
    <w:p>
      <w:pPr>
        <w:spacing w:before="2" w:after="0" w:line="150" w:lineRule="exact"/>
        <w:jc w:val="left"/>
        <w:rPr>
          <w:sz w:val="15"/>
          <w:szCs w:val="15"/>
        </w:rPr>
      </w:pPr>
      <w:r>
        <w:rPr>
          <w:sz w:val="15"/>
          <w:szCs w:val="15"/>
        </w:rPr>
      </w:r>
    </w:p>
    <w:p>
      <w:pPr>
        <w:spacing w:before="0" w:after="0" w:line="240" w:lineRule="auto"/>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大修</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磨料喷砂清理至</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Sa2.5</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8501-1:2007)</w:t>
      </w:r>
      <w:r>
        <w:rPr>
          <w:rFonts w:ascii="Arial Unicode MS" w:hAnsi="Arial Unicode MS" w:cs="Arial Unicode MS" w:eastAsia="Arial Unicode MS"/>
          <w:spacing w:val="-10"/>
          <w:w w:val="100"/>
          <w:sz w:val="16"/>
          <w:szCs w:val="16"/>
        </w:rPr>
        <w:t> </w:t>
      </w:r>
      <w:r>
        <w:rPr>
          <w:rFonts w:ascii="Arial Unicode MS" w:hAnsi="Arial Unicode MS" w:cs="Arial Unicode MS" w:eastAsia="Arial Unicode MS"/>
          <w:spacing w:val="0"/>
          <w:w w:val="100"/>
          <w:sz w:val="16"/>
          <w:szCs w:val="16"/>
        </w:rPr>
        <w:t>标准。如在喷砂和施工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Interline</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925</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之间已发生氧化，表面应再行喷砂处</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理至规定的图片标准。</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喷砂清理过程中暴露出来的表面缺陷，应打磨、嵌填或采用合适的方法进行处理。</w:t>
      </w:r>
    </w:p>
    <w:p>
      <w:pPr>
        <w:spacing w:before="2" w:after="0" w:line="150" w:lineRule="exact"/>
        <w:jc w:val="left"/>
        <w:rPr>
          <w:sz w:val="15"/>
          <w:szCs w:val="15"/>
        </w:rPr>
      </w:pPr>
      <w:r>
        <w:rPr>
          <w:sz w:val="15"/>
          <w:szCs w:val="15"/>
        </w:rPr>
      </w:r>
    </w:p>
    <w:p>
      <w:pPr>
        <w:spacing w:before="0" w:after="0" w:line="240" w:lineRule="auto"/>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维修</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请向国际油漆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咨询。</w:t>
      </w:r>
    </w:p>
    <w:p>
      <w:pPr>
        <w:spacing w:before="2" w:after="0" w:line="150" w:lineRule="exact"/>
        <w:jc w:val="left"/>
        <w:rPr>
          <w:sz w:val="15"/>
          <w:szCs w:val="15"/>
        </w:rPr>
      </w:pPr>
      <w:r>
        <w:rPr>
          <w:sz w:val="15"/>
          <w:szCs w:val="15"/>
        </w:rPr>
      </w:r>
    </w:p>
    <w:p>
      <w:pPr>
        <w:spacing w:before="0" w:after="0" w:line="240" w:lineRule="auto"/>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有关特殊建议，请向贵处的国际油漆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代表咨询。</w:t>
      </w:r>
    </w:p>
    <w:p>
      <w:pPr>
        <w:spacing w:before="16" w:after="0" w:line="260" w:lineRule="exact"/>
        <w:jc w:val="left"/>
        <w:rPr>
          <w:sz w:val="26"/>
          <w:szCs w:val="26"/>
        </w:rPr>
      </w:pPr>
      <w:r>
        <w:rPr>
          <w:sz w:val="26"/>
          <w:szCs w:val="26"/>
        </w:rPr>
      </w:r>
    </w:p>
    <w:p>
      <w:pPr>
        <w:spacing w:before="0" w:after="0" w:line="185" w:lineRule="auto"/>
        <w:ind w:left="6" w:right="454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注意事项</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用于北美地区的海洋环境，可采用下列表面处理标准：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SSPC-SP10</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代替</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Sa2.5</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8501-1:2007)</w:t>
      </w:r>
      <w:r>
        <w:rPr>
          <w:rFonts w:ascii="Arial Unicode MS" w:hAnsi="Arial Unicode MS" w:cs="Arial Unicode MS" w:eastAsia="Arial Unicode MS"/>
          <w:spacing w:val="0"/>
          <w:w w:val="100"/>
          <w:sz w:val="16"/>
          <w:szCs w:val="16"/>
        </w:rPr>
      </w:r>
    </w:p>
    <w:p>
      <w:pPr>
        <w:spacing w:before="0" w:after="0" w:line="22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SSPC-SP11</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代替</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Pt3</w:t>
      </w:r>
      <w:r>
        <w:rPr>
          <w:rFonts w:ascii="Arial Unicode MS" w:hAnsi="Arial Unicode MS" w:cs="Arial Unicode MS" w:eastAsia="Arial Unicode MS"/>
          <w:spacing w:val="-2"/>
          <w:w w:val="100"/>
          <w:sz w:val="16"/>
          <w:szCs w:val="16"/>
        </w:rPr>
        <w:t> </w:t>
      </w:r>
      <w:r>
        <w:rPr>
          <w:rFonts w:ascii="Arial Unicode MS" w:hAnsi="Arial Unicode MS" w:cs="Arial Unicode MS" w:eastAsia="Arial Unicode MS"/>
          <w:spacing w:val="0"/>
          <w:w w:val="100"/>
          <w:sz w:val="16"/>
          <w:szCs w:val="16"/>
        </w:rPr>
        <w:t>(JSRA</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SPSS:1984)</w:t>
      </w:r>
      <w:r>
        <w:rPr>
          <w:rFonts w:ascii="Arial Unicode MS" w:hAnsi="Arial Unicode MS" w:cs="Arial Unicode MS" w:eastAsia="Arial Unicode MS"/>
          <w:spacing w:val="0"/>
          <w:w w:val="100"/>
          <w:sz w:val="16"/>
          <w:szCs w:val="16"/>
        </w:rPr>
      </w:r>
    </w:p>
    <w:p>
      <w:pPr>
        <w:spacing w:line="224" w:lineRule="exact"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1018" w:space="1274"/>
            <w:col w:w="8448"/>
          </w:cols>
        </w:sectPr>
      </w:pPr>
    </w:p>
    <w:p>
      <w:pPr>
        <w:spacing w:before="39" w:after="0" w:line="274" w:lineRule="auto"/>
        <w:ind w:left="137" w:right="58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施工</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混合</w:t>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9" w:after="0" w:line="200" w:lineRule="exact"/>
        <w:jc w:val="left"/>
        <w:rPr>
          <w:sz w:val="20"/>
          <w:szCs w:val="20"/>
        </w:rPr>
      </w:pPr>
      <w:r>
        <w:rPr>
          <w:sz w:val="20"/>
          <w:szCs w:val="20"/>
        </w:rPr>
      </w:r>
    </w:p>
    <w:p>
      <w:pPr>
        <w:spacing w:before="0" w:after="0" w:line="240" w:lineRule="auto"/>
        <w:ind w:left="137" w:right="14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稀释剂</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无气喷涂</w:t>
      </w:r>
    </w:p>
    <w:p>
      <w:pPr>
        <w:spacing w:before="5" w:after="0" w:line="170" w:lineRule="exact"/>
        <w:jc w:val="left"/>
        <w:rPr>
          <w:sz w:val="17"/>
          <w:szCs w:val="17"/>
        </w:rPr>
      </w:pPr>
      <w:r>
        <w:rPr>
          <w:sz w:val="17"/>
          <w:szCs w:val="17"/>
        </w:rPr>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0" w:after="0" w:line="366" w:lineRule="exact"/>
        <w:ind w:left="137" w:right="-77"/>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传统型喷涂</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刷涂</w:t>
      </w:r>
    </w:p>
    <w:p>
      <w:pPr>
        <w:spacing w:before="0" w:after="0" w:line="352" w:lineRule="exact"/>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漆辊</w:t>
      </w:r>
      <w:r>
        <w:rPr>
          <w:rFonts w:ascii="Arial Unicode MS" w:hAnsi="Arial Unicode MS" w:cs="Arial Unicode MS" w:eastAsia="Arial Unicode MS"/>
          <w:spacing w:val="0"/>
          <w:w w:val="100"/>
          <w:position w:val="0"/>
          <w:sz w:val="22"/>
          <w:szCs w:val="22"/>
        </w:rPr>
      </w:r>
    </w:p>
    <w:p>
      <w:pPr>
        <w:spacing w:before="30" w:after="0" w:line="366" w:lineRule="exact"/>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2"/>
          <w:sz w:val="22"/>
          <w:szCs w:val="22"/>
        </w:rPr>
        <w:t>清洁剂</w:t>
      </w:r>
      <w:r>
        <w:rPr>
          <w:rFonts w:ascii="Arial Unicode MS" w:hAnsi="Arial Unicode MS" w:cs="Arial Unicode MS" w:eastAsia="Arial Unicode MS"/>
          <w:spacing w:val="0"/>
          <w:w w:val="100"/>
          <w:position w:val="0"/>
          <w:sz w:val="22"/>
          <w:szCs w:val="22"/>
        </w:rPr>
      </w:r>
    </w:p>
    <w:p>
      <w:pPr>
        <w:spacing w:before="5" w:after="0" w:line="160" w:lineRule="exact"/>
        <w:jc w:val="left"/>
        <w:rPr>
          <w:sz w:val="16"/>
          <w:szCs w:val="16"/>
        </w:rPr>
      </w:pPr>
      <w:r>
        <w:rPr/>
        <w:br w:type="column"/>
      </w:r>
      <w:r>
        <w:rPr>
          <w:sz w:val="16"/>
          <w:szCs w:val="16"/>
        </w:rPr>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0" w:after="0" w:line="185" w:lineRule="auto"/>
        <w:ind w:left="30" w:right="262"/>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涂料分装在两个容器中，作为一组供应。始终应按供应的比例整组混合。一组涂料一经混合，必须在规定的混合后</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施工时间内使用。</w:t>
      </w:r>
    </w:p>
    <w:p>
      <w:pPr>
        <w:spacing w:before="0" w:after="0" w:line="185" w:lineRule="auto"/>
        <w:ind w:left="30" w:right="540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(1)采用电动搅拌器搅拌基料(甲组份)。</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(2)采用电动搅拌器搅拌固化剂(乙组份)。</w:t>
      </w:r>
    </w:p>
    <w:p>
      <w:pPr>
        <w:spacing w:before="0" w:after="0" w:line="224" w:lineRule="exact"/>
        <w:ind w:left="30"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(3)</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将全部固化剂</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(乙组份)与基料</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(甲组份)混合并采用电动搅拌器彻底搅拌。</w:t>
      </w:r>
    </w:p>
    <w:p>
      <w:pPr>
        <w:spacing w:before="26" w:after="0" w:line="382" w:lineRule="exact"/>
        <w:ind w:right="7316" w:firstLine="15"/>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不推荐使用。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推荐使用</w:t>
      </w:r>
    </w:p>
    <w:p>
      <w:pPr>
        <w:spacing w:before="0" w:after="0" w:line="181"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1"/>
          <w:sz w:val="16"/>
          <w:szCs w:val="16"/>
        </w:rPr>
        <w:t>喷嘴尺寸</w:t>
      </w:r>
      <w:r>
        <w:rPr>
          <w:rFonts w:ascii="Arial Unicode MS" w:hAnsi="Arial Unicode MS" w:cs="Arial Unicode MS" w:eastAsia="Arial Unicode MS"/>
          <w:spacing w:val="0"/>
          <w:w w:val="100"/>
          <w:position w:val="1"/>
          <w:sz w:val="16"/>
          <w:szCs w:val="16"/>
        </w:rPr>
        <w:t> </w:t>
      </w:r>
      <w:r>
        <w:rPr>
          <w:rFonts w:ascii="Arial Unicode MS" w:hAnsi="Arial Unicode MS" w:cs="Arial Unicode MS" w:eastAsia="Arial Unicode MS"/>
          <w:spacing w:val="0"/>
          <w:w w:val="100"/>
          <w:position w:val="1"/>
          <w:sz w:val="16"/>
          <w:szCs w:val="16"/>
        </w:rPr>
        <w:t>0.53-0.64</w:t>
      </w:r>
      <w:r>
        <w:rPr>
          <w:rFonts w:ascii="Arial Unicode MS" w:hAnsi="Arial Unicode MS" w:cs="Arial Unicode MS" w:eastAsia="Arial Unicode MS"/>
          <w:spacing w:val="-7"/>
          <w:w w:val="100"/>
          <w:position w:val="1"/>
          <w:sz w:val="16"/>
          <w:szCs w:val="16"/>
        </w:rPr>
        <w:t> </w:t>
      </w:r>
      <w:r>
        <w:rPr>
          <w:rFonts w:ascii="Arial Unicode MS" w:hAnsi="Arial Unicode MS" w:cs="Arial Unicode MS" w:eastAsia="Arial Unicode MS"/>
          <w:spacing w:val="0"/>
          <w:w w:val="100"/>
          <w:position w:val="1"/>
          <w:sz w:val="16"/>
          <w:szCs w:val="16"/>
        </w:rPr>
        <w:t>毫米</w:t>
      </w:r>
      <w:r>
        <w:rPr>
          <w:rFonts w:ascii="Arial Unicode MS" w:hAnsi="Arial Unicode MS" w:cs="Arial Unicode MS" w:eastAsia="Arial Unicode MS"/>
          <w:spacing w:val="0"/>
          <w:w w:val="100"/>
          <w:position w:val="1"/>
          <w:sz w:val="16"/>
          <w:szCs w:val="16"/>
        </w:rPr>
        <w:t> </w:t>
      </w:r>
      <w:r>
        <w:rPr>
          <w:rFonts w:ascii="Arial Unicode MS" w:hAnsi="Arial Unicode MS" w:cs="Arial Unicode MS" w:eastAsia="Arial Unicode MS"/>
          <w:spacing w:val="0"/>
          <w:w w:val="100"/>
          <w:position w:val="1"/>
          <w:sz w:val="16"/>
          <w:szCs w:val="16"/>
        </w:rPr>
        <w:t>(21-25</w:t>
      </w:r>
      <w:r>
        <w:rPr>
          <w:rFonts w:ascii="Arial Unicode MS" w:hAnsi="Arial Unicode MS" w:cs="Arial Unicode MS" w:eastAsia="Arial Unicode MS"/>
          <w:spacing w:val="0"/>
          <w:w w:val="100"/>
          <w:position w:val="1"/>
          <w:sz w:val="16"/>
          <w:szCs w:val="16"/>
        </w:rPr>
        <w:t> </w:t>
      </w:r>
      <w:r>
        <w:rPr>
          <w:rFonts w:ascii="Arial Unicode MS" w:hAnsi="Arial Unicode MS" w:cs="Arial Unicode MS" w:eastAsia="Arial Unicode MS"/>
          <w:spacing w:val="0"/>
          <w:w w:val="100"/>
          <w:position w:val="1"/>
          <w:sz w:val="16"/>
          <w:szCs w:val="16"/>
        </w:rPr>
        <w:t>thou)</w:t>
      </w:r>
      <w:r>
        <w:rPr>
          <w:rFonts w:ascii="Arial Unicode MS" w:hAnsi="Arial Unicode MS" w:cs="Arial Unicode MS" w:eastAsia="Arial Unicode MS"/>
          <w:spacing w:val="0"/>
          <w:w w:val="100"/>
          <w:position w:val="0"/>
          <w:sz w:val="16"/>
          <w:szCs w:val="16"/>
        </w:rPr>
      </w:r>
    </w:p>
    <w:p>
      <w:pPr>
        <w:spacing w:before="0" w:after="0" w:line="214"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喷嘴处的输出流体总压力不低于</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211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千克/厘米²</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(3000磅/平方英寸)</w:t>
      </w:r>
      <w:r>
        <w:rPr>
          <w:rFonts w:ascii="Arial Unicode MS" w:hAnsi="Arial Unicode MS" w:cs="Arial Unicode MS" w:eastAsia="Arial Unicode MS"/>
          <w:spacing w:val="0"/>
          <w:w w:val="100"/>
          <w:sz w:val="16"/>
          <w:szCs w:val="16"/>
        </w:rPr>
      </w:r>
    </w:p>
    <w:p>
      <w:pPr>
        <w:spacing w:before="0" w:after="0" w:line="214"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为达到最佳喷涂，混合涂料的温度应在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30－35°C</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之间。</w:t>
      </w:r>
    </w:p>
    <w:p>
      <w:pPr>
        <w:spacing w:before="8" w:after="0" w:line="316" w:lineRule="auto"/>
        <w:ind w:right="333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不推荐采用传统型喷涂方法进行施工。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刷涂施工仅建议用于小面积。可能需要多道涂层，以达到规定的膜厚。</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辊涂施工仅建议用于小面积。可能需要多道涂层，以达到规定的膜厚。</w:t>
      </w:r>
    </w:p>
    <w:p>
      <w:pPr>
        <w:spacing w:before="66"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国际牌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GTA822/GTA415</w:t>
      </w:r>
      <w:r>
        <w:rPr>
          <w:rFonts w:ascii="Arial Unicode MS" w:hAnsi="Arial Unicode MS" w:cs="Arial Unicode MS" w:eastAsia="Arial Unicode MS"/>
          <w:spacing w:val="0"/>
          <w:w w:val="100"/>
          <w:sz w:val="16"/>
          <w:szCs w:val="16"/>
        </w:rPr>
      </w:r>
    </w:p>
    <w:p>
      <w:pPr>
        <w:spacing w:line="240" w:lineRule="auto" w:after="0"/>
        <w:jc w:val="left"/>
        <w:rPr>
          <w:rFonts w:ascii="Arial Unicode MS" w:hAnsi="Arial Unicode MS" w:cs="Arial Unicode MS" w:eastAsia="Arial Unicode MS"/>
          <w:sz w:val="16"/>
          <w:szCs w:val="16"/>
        </w:rPr>
        <w:sectPr>
          <w:headerReference w:type="default" r:id="rId8"/>
          <w:pgSz w:w="11900" w:h="16820"/>
          <w:pgMar w:header="299" w:footer="1582" w:top="1040" w:bottom="1780" w:left="620" w:right="540"/>
          <w:cols w:num="2" w:equalWidth="0">
            <w:col w:w="1238" w:space="1149"/>
            <w:col w:w="8353"/>
          </w:cols>
        </w:sectPr>
      </w:pPr>
    </w:p>
    <w:p>
      <w:pPr>
        <w:tabs>
          <w:tab w:pos="2380" w:val="left"/>
        </w:tabs>
        <w:spacing w:before="67" w:after="0" w:line="178" w:lineRule="auto"/>
        <w:ind w:left="2387" w:right="248" w:hanging="225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工作中止及清理</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不要让涂料残留在软管、喷枪或喷涂设备中。采用国际牌</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GTA822/GTA415</w:t>
      </w:r>
      <w:r>
        <w:rPr>
          <w:rFonts w:ascii="Arial Unicode MS" w:hAnsi="Arial Unicode MS" w:cs="Arial Unicode MS" w:eastAsia="Arial Unicode MS"/>
          <w:spacing w:val="-12"/>
          <w:w w:val="100"/>
          <w:position w:val="0"/>
          <w:sz w:val="16"/>
          <w:szCs w:val="16"/>
        </w:rPr>
        <w:t> </w:t>
      </w:r>
      <w:r>
        <w:rPr>
          <w:rFonts w:ascii="Arial Unicode MS" w:hAnsi="Arial Unicode MS" w:cs="Arial Unicode MS" w:eastAsia="Arial Unicode MS"/>
          <w:spacing w:val="0"/>
          <w:w w:val="100"/>
          <w:position w:val="0"/>
          <w:sz w:val="16"/>
          <w:szCs w:val="16"/>
        </w:rPr>
        <w:t>彻底冲洗所有设备。一组油漆一经混</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合，不应再行密封，施工中如停顿时间过长，建议重新混合各组份，再开始施工。</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所有设备在使用后应立即采用国际牌</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GTA822/GTA415</w:t>
      </w:r>
      <w:r>
        <w:rPr>
          <w:rFonts w:ascii="Arial Unicode MS" w:hAnsi="Arial Unicode MS" w:cs="Arial Unicode MS" w:eastAsia="Arial Unicode MS"/>
          <w:spacing w:val="-12"/>
          <w:w w:val="100"/>
          <w:position w:val="0"/>
          <w:sz w:val="16"/>
          <w:szCs w:val="16"/>
        </w:rPr>
        <w:t> </w:t>
      </w:r>
      <w:r>
        <w:rPr>
          <w:rFonts w:ascii="Arial Unicode MS" w:hAnsi="Arial Unicode MS" w:cs="Arial Unicode MS" w:eastAsia="Arial Unicode MS"/>
          <w:spacing w:val="0"/>
          <w:w w:val="100"/>
          <w:position w:val="0"/>
          <w:sz w:val="16"/>
          <w:szCs w:val="16"/>
        </w:rPr>
        <w:t>进行清洗。在一天的工作过程中定时冲洗喷涂设备是一种良</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好的工作习惯。清洗次数取决于喷涂数量、温度和使用时间(包括耽搁的时间)。不要超过涂料的混合后施工时间。</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所有剩余涂料和空容器应按照当地适宜的规章/法律进行处置。</w:t>
      </w:r>
      <w:r>
        <w:rPr>
          <w:rFonts w:ascii="Arial Unicode MS" w:hAnsi="Arial Unicode MS" w:cs="Arial Unicode MS" w:eastAsia="Arial Unicode MS"/>
          <w:spacing w:val="0"/>
          <w:w w:val="100"/>
          <w:position w:val="0"/>
          <w:sz w:val="16"/>
          <w:szCs w:val="16"/>
        </w:rPr>
      </w:r>
    </w:p>
    <w:p>
      <w:pPr>
        <w:spacing w:before="8" w:after="0" w:line="240" w:lineRule="exact"/>
        <w:jc w:val="left"/>
        <w:rPr>
          <w:sz w:val="24"/>
          <w:szCs w:val="24"/>
        </w:rPr>
      </w:pPr>
      <w:r>
        <w:rPr>
          <w:sz w:val="24"/>
          <w:szCs w:val="24"/>
        </w:rPr>
      </w:r>
    </w:p>
    <w:p>
      <w:pPr>
        <w:tabs>
          <w:tab w:pos="2360" w:val="left"/>
        </w:tabs>
        <w:spacing w:before="8" w:after="0" w:line="158" w:lineRule="auto"/>
        <w:ind w:left="2372" w:right="306" w:hanging="2235"/>
        <w:jc w:val="left"/>
        <w:rPr>
          <w:rFonts w:ascii="Arial Unicode MS" w:hAnsi="Arial Unicode MS" w:cs="Arial Unicode MS" w:eastAsia="Arial Unicode MS"/>
          <w:sz w:val="16"/>
          <w:szCs w:val="16"/>
        </w:rPr>
      </w:pPr>
      <w:r>
        <w:rPr/>
        <w:pict>
          <v:group style="position:absolute;margin-left:149.600006pt;margin-top:27.474295pt;width:405.75pt;height:.1pt;mso-position-horizontal-relative:page;mso-position-vertical-relative:paragraph;z-index:-353" coordorigin="2992,549" coordsize="8115,2">
            <v:shape style="position:absolute;left:2992;top:549;width:8115;height:2" coordorigin="2992,549" coordsize="8115,0" path="m2992,549l11107,549e" filled="f" stroked="t" strokeweight="1.5pt" strokecolor="#000000">
              <v:path arrowok="t"/>
            </v:shape>
            <w10:wrap type="none"/>
          </v:group>
        </w:pict>
      </w:r>
      <w:r>
        <w:rPr>
          <w:rFonts w:ascii="Arial Unicode MS" w:hAnsi="Arial Unicode MS" w:cs="Arial Unicode MS" w:eastAsia="Arial Unicode MS"/>
          <w:spacing w:val="0"/>
          <w:w w:val="100"/>
          <w:position w:val="-4"/>
          <w:sz w:val="22"/>
          <w:szCs w:val="22"/>
        </w:rPr>
        <w:t>焊接</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如果在涂有该产品的金属上进行焊接或火焰切割，会散发灰尘和烟雾，需使用合适的个人防护设备及局部通风排气</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设施。在北美，按照</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ANSI/ASC</w:t>
      </w:r>
      <w:r>
        <w:rPr>
          <w:rFonts w:ascii="Arial Unicode MS" w:hAnsi="Arial Unicode MS" w:cs="Arial Unicode MS" w:eastAsia="Arial Unicode MS"/>
          <w:spacing w:val="-7"/>
          <w:w w:val="100"/>
          <w:position w:val="0"/>
          <w:sz w:val="16"/>
          <w:szCs w:val="16"/>
        </w:rPr>
        <w:t> </w:t>
      </w:r>
      <w:r>
        <w:rPr>
          <w:rFonts w:ascii="Arial Unicode MS" w:hAnsi="Arial Unicode MS" w:cs="Arial Unicode MS" w:eastAsia="Arial Unicode MS"/>
          <w:spacing w:val="0"/>
          <w:w w:val="100"/>
          <w:position w:val="0"/>
          <w:sz w:val="16"/>
          <w:szCs w:val="16"/>
        </w:rPr>
        <w:t>Z49.1</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“焊接和切割中的安全事项”中的指示进行操作。</w:t>
      </w:r>
    </w:p>
    <w:p>
      <w:pPr>
        <w:spacing w:before="4" w:after="0" w:line="190" w:lineRule="exact"/>
        <w:jc w:val="left"/>
        <w:rPr>
          <w:sz w:val="19"/>
          <w:szCs w:val="19"/>
        </w:rPr>
      </w:pPr>
      <w:r>
        <w:rPr>
          <w:sz w:val="19"/>
          <w:szCs w:val="19"/>
        </w:rPr>
      </w:r>
    </w:p>
    <w:p>
      <w:pPr>
        <w:tabs>
          <w:tab w:pos="2240" w:val="left"/>
        </w:tabs>
        <w:spacing w:before="0" w:after="0" w:line="297" w:lineRule="exact"/>
        <w:ind w:left="100" w:right="872"/>
        <w:jc w:val="center"/>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22"/>
          <w:szCs w:val="22"/>
        </w:rPr>
        <w:t>安全</w:t>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5"/>
          <w:sz w:val="16"/>
          <w:szCs w:val="16"/>
        </w:rPr>
        <w:t>所有与该产品的施工和使用有关的工作，均应按照国家关于健康、安全和环境保护方面的标准和规定进行。</w:t>
      </w:r>
      <w:r>
        <w:rPr>
          <w:rFonts w:ascii="Arial Unicode MS" w:hAnsi="Arial Unicode MS" w:cs="Arial Unicode MS" w:eastAsia="Arial Unicode MS"/>
          <w:spacing w:val="0"/>
          <w:w w:val="100"/>
          <w:position w:val="0"/>
          <w:sz w:val="16"/>
          <w:szCs w:val="16"/>
        </w:rPr>
      </w:r>
    </w:p>
    <w:p>
      <w:pPr>
        <w:spacing w:before="8" w:after="0" w:line="130" w:lineRule="exact"/>
        <w:jc w:val="left"/>
        <w:rPr>
          <w:sz w:val="13"/>
          <w:szCs w:val="13"/>
        </w:rPr>
      </w:pPr>
      <w:r>
        <w:rPr>
          <w:sz w:val="13"/>
          <w:szCs w:val="13"/>
        </w:rPr>
      </w:r>
    </w:p>
    <w:p>
      <w:pPr>
        <w:spacing w:before="0" w:after="0" w:line="185" w:lineRule="auto"/>
        <w:ind w:left="2291" w:right="387"/>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使用该产品前，应获取、参阅并遵循该产品“材料安全说明书”有关健康和安全方面的信息规定。参阅并遵守“材料安</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全说明书”和包装容器标牌上的所有预防措施。如果您未完全了解这些告诫和规定，或者不能严格遵守，请勿使用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该产品。在该产品的施工和干燥过程中，必须采用合适的通风和防范措施，将溶剂蒸汽浓度控制在安全限定值以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内，以防止发生中毒或缺氧的危险。采取保护措施，避免皮肤和眼睛与该产品接触(例如：手套、护目镜、面罩、</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隔离霜等)。具体安全措施应视施工方法和工作环境而定。</w:t>
      </w:r>
    </w:p>
    <w:p>
      <w:pPr>
        <w:spacing w:before="0" w:after="0" w:line="22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紧急联系电话：</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美国/加拿大</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医疗咨询电话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1-800-854-6813</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欧洲</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联系电话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191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4696111。医院及医生诊视电话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207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6359191</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R.O.W.</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与地区办事处联系</w:t>
      </w:r>
    </w:p>
    <w:p>
      <w:pPr>
        <w:spacing w:before="2" w:after="0" w:line="150" w:lineRule="exact"/>
        <w:jc w:val="left"/>
        <w:rPr>
          <w:sz w:val="15"/>
          <w:szCs w:val="15"/>
        </w:rPr>
      </w:pPr>
      <w:r>
        <w:rPr>
          <w:sz w:val="15"/>
          <w:szCs w:val="15"/>
        </w:rPr>
      </w:r>
    </w:p>
    <w:p>
      <w:pPr>
        <w:spacing w:before="0" w:after="0" w:line="240" w:lineRule="auto"/>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警告：该产品含有液体环氧和改性聚胺，如果使用不当的话，可能会引起皮肤过敏。</w:t>
      </w:r>
    </w:p>
    <w:p>
      <w:pPr>
        <w:spacing w:line="240" w:lineRule="auto" w:after="0"/>
        <w:jc w:val="left"/>
        <w:rPr>
          <w:rFonts w:ascii="Arial Unicode MS" w:hAnsi="Arial Unicode MS" w:cs="Arial Unicode MS" w:eastAsia="Arial Unicode MS"/>
          <w:sz w:val="16"/>
          <w:szCs w:val="16"/>
        </w:rPr>
        <w:sectPr>
          <w:type w:val="continuous"/>
          <w:pgSz w:w="11900" w:h="16820"/>
          <w:pgMar w:top="1040" w:bottom="1780" w:left="620" w:right="540"/>
        </w:sectPr>
      </w:pPr>
    </w:p>
    <w:p>
      <w:pPr>
        <w:spacing w:before="9" w:after="0" w:line="120" w:lineRule="exact"/>
        <w:jc w:val="left"/>
        <w:rPr>
          <w:sz w:val="12"/>
          <w:szCs w:val="12"/>
        </w:rPr>
      </w:pPr>
      <w:r>
        <w:rPr>
          <w:sz w:val="12"/>
          <w:szCs w:val="12"/>
        </w:rPr>
      </w:r>
    </w:p>
    <w:p>
      <w:pPr>
        <w:tabs>
          <w:tab w:pos="2280" w:val="left"/>
        </w:tabs>
        <w:spacing w:before="0" w:after="0" w:line="158" w:lineRule="auto"/>
        <w:ind w:left="2297" w:right="256" w:hanging="216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限制</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在低于</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25°C</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的环境温度下，必须给喷枪送料管加保温套。除非确实需要，否则不要使用管道加热器。请向国际油漆</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(International</w:t>
      </w:r>
      <w:r>
        <w:rPr>
          <w:rFonts w:ascii="Arial Unicode MS" w:hAnsi="Arial Unicode MS" w:cs="Arial Unicode MS" w:eastAsia="Arial Unicode MS"/>
          <w:spacing w:val="-9"/>
          <w:w w:val="100"/>
          <w:position w:val="0"/>
          <w:sz w:val="16"/>
          <w:szCs w:val="16"/>
        </w:rPr>
        <w:t> </w:t>
      </w:r>
      <w:r>
        <w:rPr>
          <w:rFonts w:ascii="Arial Unicode MS" w:hAnsi="Arial Unicode MS" w:cs="Arial Unicode MS" w:eastAsia="Arial Unicode MS"/>
          <w:spacing w:val="0"/>
          <w:w w:val="100"/>
          <w:position w:val="0"/>
          <w:sz w:val="16"/>
          <w:szCs w:val="16"/>
        </w:rPr>
        <w:t>Paint)</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咨询详细情况。</w:t>
      </w:r>
    </w:p>
    <w:p>
      <w:pPr>
        <w:spacing w:before="5" w:after="0" w:line="185" w:lineRule="auto"/>
        <w:ind w:left="2297" w:right="29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该产品在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10°C</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以下不能充分固化。为获得最佳性能，固化温度应保持在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35°C</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以下。当采用人工加热时，应特别小</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心，以避免在局部区域产生超过该温度的情况。</w:t>
      </w:r>
    </w:p>
    <w:p>
      <w:pPr>
        <w:spacing w:before="0" w:after="0" w:line="185" w:lineRule="auto"/>
        <w:ind w:left="2297" w:right="174"/>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必须控制液舱中的温湿条件，当温度在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10-15°C</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之间时，使最高相对湿度保持在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50%；当温度在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16°C</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或以上时，最</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高相对湿度在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60%。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干燥时间和复涂间隔可能会由于诸如舱室结构和通风速率等现场因素的影响而发生改变。在通风条件差的情况下进行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施工时，最大复涂间隔可能需要减少。请向国际油漆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咨询。</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复涂数据仅作指导之用，应视当地的气候和环境条件而定。有关特殊建议，请向贵处的国际油漆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代表咨询。</w:t>
      </w:r>
    </w:p>
    <w:p>
      <w:pPr>
        <w:spacing w:before="0" w:after="0" w:line="185" w:lineRule="auto"/>
        <w:ind w:left="2297" w:right="221"/>
        <w:jc w:val="left"/>
        <w:rPr>
          <w:rFonts w:ascii="Arial Unicode MS" w:hAnsi="Arial Unicode MS" w:cs="Arial Unicode MS" w:eastAsia="Arial Unicode MS"/>
          <w:sz w:val="16"/>
          <w:szCs w:val="16"/>
        </w:rPr>
      </w:pPr>
      <w:r>
        <w:rPr/>
        <w:pict>
          <v:group style="position:absolute;margin-left:145.850006pt;margin-top:70.013878pt;width:417.6pt;height:.1pt;mso-position-horizontal-relative:page;mso-position-vertical-relative:paragraph;z-index:-352" coordorigin="2917,1400" coordsize="8352,2">
            <v:shape style="position:absolute;left:2917;top:1400;width:8352;height:2" coordorigin="2917,1400" coordsize="8352,0" path="m2917,1400l11269,1400e" filled="f" stroked="t" strokeweight="1.5pt" strokecolor="#000000">
              <v:path arrowok="t"/>
            </v:shape>
            <w10:wrap type="none"/>
          </v:group>
        </w:pict>
      </w:r>
      <w:r>
        <w:rPr>
          <w:rFonts w:ascii="Arial Unicode MS" w:hAnsi="Arial Unicode MS" w:cs="Arial Unicode MS" w:eastAsia="Arial Unicode MS"/>
          <w:spacing w:val="0"/>
          <w:w w:val="100"/>
          <w:sz w:val="16"/>
          <w:szCs w:val="16"/>
        </w:rPr>
        <w:t>在好天气下施工。待涂表面的温度必须至少高于露点</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3°C。除非另有特殊指令，为达到最佳施工性能，在混合和施工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前，将涂料温度提升到</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30-35</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°C之间。未混合的涂料（在盖紧的容器中）应按该产品说明书“贮存”一节中规定的方式</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进行保护性贮存。此处提及的技术和施工数据之目的，是为制定一个涂料施工程序的总则。测试性能结果来自于受控</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的实验室环境，国际油漆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(InternationalPaint)</w:t>
      </w:r>
      <w:r>
        <w:rPr>
          <w:rFonts w:ascii="Arial Unicode MS" w:hAnsi="Arial Unicode MS" w:cs="Arial Unicode MS" w:eastAsia="Arial Unicode MS"/>
          <w:spacing w:val="-14"/>
          <w:w w:val="100"/>
          <w:sz w:val="16"/>
          <w:szCs w:val="16"/>
        </w:rPr>
        <w:t> </w:t>
      </w:r>
      <w:r>
        <w:rPr>
          <w:rFonts w:ascii="Arial Unicode MS" w:hAnsi="Arial Unicode MS" w:cs="Arial Unicode MS" w:eastAsia="Arial Unicode MS"/>
          <w:spacing w:val="0"/>
          <w:w w:val="100"/>
          <w:sz w:val="16"/>
          <w:szCs w:val="16"/>
        </w:rPr>
        <w:t>并不声称所公布的测试结果，或任何其它测试，精确代表所有现场环境</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99"/>
          <w:sz w:val="16"/>
          <w:szCs w:val="16"/>
        </w:rPr>
        <w:t>中所得到的结果。由于施工应用,</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环境和设计参数变化很大，所以在进行涂料选择、性能证实或使用时应十分小心谨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慎。</w:t>
      </w:r>
    </w:p>
    <w:p>
      <w:pPr>
        <w:spacing w:before="3" w:after="0" w:line="280" w:lineRule="exact"/>
        <w:jc w:val="left"/>
        <w:rPr>
          <w:sz w:val="28"/>
          <w:szCs w:val="28"/>
        </w:rPr>
      </w:pPr>
      <w:r>
        <w:rPr>
          <w:sz w:val="28"/>
          <w:szCs w:val="28"/>
        </w:rPr>
      </w:r>
    </w:p>
    <w:p>
      <w:pPr>
        <w:spacing w:before="0" w:after="0" w:line="280" w:lineRule="exact"/>
        <w:ind w:left="137" w:right="-20"/>
        <w:jc w:val="left"/>
        <w:rPr>
          <w:rFonts w:ascii="Arial Unicode MS" w:hAnsi="Arial Unicode MS" w:cs="Arial Unicode MS" w:eastAsia="Arial Unicode MS"/>
          <w:sz w:val="22"/>
          <w:szCs w:val="22"/>
        </w:rPr>
      </w:pPr>
      <w:r>
        <w:rPr/>
        <w:pict>
          <v:group style="position:absolute;margin-left:37.849998pt;margin-top:2.318046pt;width:522.75pt;height:64.1230pt;mso-position-horizontal-relative:page;mso-position-vertical-relative:paragraph;z-index:-351" coordorigin="757,46" coordsize="10455,1282">
            <v:shape style="position:absolute;left:757;top:46;width:10455;height:1282" coordorigin="757,46" coordsize="10455,1282" path="m757,1329l11212,1329,11212,46,757,46,757,1329xe" filled="t" fillcolor="#D2D2D2" stroked="f">
              <v:path arrowok="t"/>
              <v:fill/>
            </v:shape>
            <w10:wrap type="none"/>
          </v:group>
        </w:pict>
      </w:r>
      <w:r>
        <w:rPr/>
        <w:pict>
          <v:shape style="position:absolute;margin-left:166.5pt;margin-top:2.318046pt;width:394.1pt;height:47.173016pt;mso-position-horizontal-relative:page;mso-position-vertical-relative:paragraph;z-index:-347" type="#_x0000_t202" filled="f" stroked="f">
            <v:textbox inset="0,0,0,0">
              <w:txbxContent>
                <w:tbl>
                  <w:tblPr>
                    <w:tblW w:w="0" w:type="auto"/>
                    <w:jc w:val="left"/>
                    <w:tblLayout w:type="fixed"/>
                    <w:tblCellMar>
                      <w:top w:w="0" w:type="dxa"/>
                      <w:left w:w="0" w:type="dxa"/>
                      <w:bottom w:w="0" w:type="dxa"/>
                      <w:right w:w="0" w:type="dxa"/>
                    </w:tblCellMar>
                    <w:tblLook w:val="01E0"/>
                  </w:tblPr>
                  <w:tblGrid/>
                  <w:tr>
                    <w:trPr>
                      <w:trHeight w:val="169" w:hRule="exact"/>
                    </w:trPr>
                    <w:tc>
                      <w:tcPr>
                        <w:tcW w:w="959" w:type="dxa"/>
                        <w:tcBorders>
                          <w:top w:val="nil" w:sz="6" w:space="0" w:color="auto"/>
                          <w:left w:val="nil" w:sz="6" w:space="0" w:color="auto"/>
                          <w:bottom w:val="nil" w:sz="6" w:space="0" w:color="auto"/>
                          <w:right w:val="nil" w:sz="6" w:space="0" w:color="auto"/>
                        </w:tcBorders>
                        <w:shd w:val="clear" w:color="auto" w:fill="D2D2D2"/>
                      </w:tcPr>
                      <w:p>
                        <w:pPr>
                          <w:spacing w:before="0" w:after="0" w:line="158" w:lineRule="exact"/>
                          <w:ind w:left="4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包装规格</w:t>
                        </w:r>
                        <w:r>
                          <w:rPr>
                            <w:rFonts w:ascii="Arial Unicode MS" w:hAnsi="Arial Unicode MS" w:cs="Arial Unicode MS" w:eastAsia="Arial Unicode MS"/>
                            <w:spacing w:val="0"/>
                            <w:w w:val="100"/>
                            <w:position w:val="0"/>
                            <w:sz w:val="14"/>
                            <w:szCs w:val="14"/>
                          </w:rPr>
                        </w:r>
                      </w:p>
                    </w:tc>
                    <w:tc>
                      <w:tcPr>
                        <w:tcW w:w="1191" w:type="dxa"/>
                        <w:tcBorders>
                          <w:top w:val="nil" w:sz="6" w:space="0" w:color="auto"/>
                          <w:left w:val="nil" w:sz="6" w:space="0" w:color="auto"/>
                          <w:bottom w:val="nil" w:sz="6" w:space="0" w:color="auto"/>
                          <w:right w:val="nil" w:sz="6" w:space="0" w:color="auto"/>
                        </w:tcBorders>
                        <w:shd w:val="clear" w:color="auto" w:fill="D2D2D2"/>
                      </w:tcPr>
                      <w:p>
                        <w:pPr>
                          <w:spacing w:before="0" w:after="0" w:line="158" w:lineRule="exact"/>
                          <w:ind w:left="734"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甲组份</w:t>
                        </w:r>
                        <w:r>
                          <w:rPr>
                            <w:rFonts w:ascii="Arial Unicode MS" w:hAnsi="Arial Unicode MS" w:cs="Arial Unicode MS" w:eastAsia="Arial Unicode MS"/>
                            <w:spacing w:val="0"/>
                            <w:w w:val="100"/>
                            <w:position w:val="0"/>
                            <w:sz w:val="14"/>
                            <w:szCs w:val="14"/>
                          </w:rPr>
                        </w:r>
                      </w:p>
                    </w:tc>
                    <w:tc>
                      <w:tcPr>
                        <w:tcW w:w="898" w:type="dxa"/>
                        <w:tcBorders>
                          <w:top w:val="nil" w:sz="6" w:space="0" w:color="auto"/>
                          <w:left w:val="nil" w:sz="6" w:space="0" w:color="auto"/>
                          <w:bottom w:val="nil" w:sz="6" w:space="0" w:color="auto"/>
                          <w:right w:val="nil" w:sz="6" w:space="0" w:color="auto"/>
                        </w:tcBorders>
                        <w:shd w:val="clear" w:color="auto" w:fill="D2D2D2"/>
                      </w:tcPr>
                      <w:p>
                        <w:pPr/>
                      </w:p>
                    </w:tc>
                    <w:tc>
                      <w:tcPr>
                        <w:tcW w:w="1135" w:type="dxa"/>
                        <w:tcBorders>
                          <w:top w:val="nil" w:sz="6" w:space="0" w:color="auto"/>
                          <w:left w:val="nil" w:sz="6" w:space="0" w:color="auto"/>
                          <w:bottom w:val="nil" w:sz="6" w:space="0" w:color="auto"/>
                          <w:right w:val="nil" w:sz="6" w:space="0" w:color="auto"/>
                        </w:tcBorders>
                        <w:shd w:val="clear" w:color="auto" w:fill="D2D2D2"/>
                      </w:tcPr>
                      <w:p>
                        <w:pPr>
                          <w:spacing w:before="0" w:after="0" w:line="158" w:lineRule="exact"/>
                          <w:ind w:left="66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乙组份</w:t>
                        </w:r>
                        <w:r>
                          <w:rPr>
                            <w:rFonts w:ascii="Arial Unicode MS" w:hAnsi="Arial Unicode MS" w:cs="Arial Unicode MS" w:eastAsia="Arial Unicode MS"/>
                            <w:spacing w:val="0"/>
                            <w:w w:val="100"/>
                            <w:position w:val="0"/>
                            <w:sz w:val="14"/>
                            <w:szCs w:val="14"/>
                          </w:rPr>
                        </w:r>
                      </w:p>
                    </w:tc>
                    <w:tc>
                      <w:tcPr>
                        <w:tcW w:w="3700" w:type="dxa"/>
                        <w:tcBorders>
                          <w:top w:val="nil" w:sz="6" w:space="0" w:color="auto"/>
                          <w:left w:val="nil" w:sz="6" w:space="0" w:color="auto"/>
                          <w:bottom w:val="nil" w:sz="6" w:space="0" w:color="auto"/>
                          <w:right w:val="nil" w:sz="6" w:space="0" w:color="auto"/>
                        </w:tcBorders>
                        <w:shd w:val="clear" w:color="auto" w:fill="D2D2D2"/>
                      </w:tcPr>
                      <w:p>
                        <w:pPr/>
                      </w:p>
                    </w:tc>
                  </w:tr>
                  <w:tr>
                    <w:trPr>
                      <w:trHeight w:val="225" w:hRule="exact"/>
                    </w:trPr>
                    <w:tc>
                      <w:tcPr>
                        <w:tcW w:w="959" w:type="dxa"/>
                        <w:tcBorders>
                          <w:top w:val="nil" w:sz="6" w:space="0" w:color="auto"/>
                          <w:left w:val="nil" w:sz="6" w:space="0" w:color="auto"/>
                          <w:bottom w:val="nil" w:sz="6" w:space="0" w:color="auto"/>
                          <w:right w:val="nil" w:sz="6" w:space="0" w:color="auto"/>
                        </w:tcBorders>
                        <w:shd w:val="clear" w:color="auto" w:fill="D2D2D2"/>
                      </w:tcPr>
                      <w:p>
                        <w:pPr/>
                      </w:p>
                    </w:tc>
                    <w:tc>
                      <w:tcPr>
                        <w:tcW w:w="1191" w:type="dxa"/>
                        <w:tcBorders>
                          <w:top w:val="nil" w:sz="6" w:space="0" w:color="auto"/>
                          <w:left w:val="nil" w:sz="6" w:space="0" w:color="auto"/>
                          <w:bottom w:val="nil" w:sz="6" w:space="0" w:color="auto"/>
                          <w:right w:val="nil" w:sz="6" w:space="0" w:color="auto"/>
                        </w:tcBorders>
                        <w:shd w:val="clear" w:color="auto" w:fill="D2D2D2"/>
                      </w:tcPr>
                      <w:p>
                        <w:pPr>
                          <w:spacing w:before="0" w:after="0" w:line="170" w:lineRule="exact"/>
                          <w:ind w:left="406" w:right="424"/>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体积</w:t>
                        </w:r>
                      </w:p>
                    </w:tc>
                    <w:tc>
                      <w:tcPr>
                        <w:tcW w:w="898" w:type="dxa"/>
                        <w:tcBorders>
                          <w:top w:val="nil" w:sz="6" w:space="0" w:color="auto"/>
                          <w:left w:val="nil" w:sz="6" w:space="0" w:color="auto"/>
                          <w:bottom w:val="nil" w:sz="6" w:space="0" w:color="auto"/>
                          <w:right w:val="nil" w:sz="6" w:space="0" w:color="auto"/>
                        </w:tcBorders>
                        <w:shd w:val="clear" w:color="auto" w:fill="D2D2D2"/>
                      </w:tcPr>
                      <w:p>
                        <w:pPr>
                          <w:spacing w:before="0" w:after="0" w:line="170" w:lineRule="exact"/>
                          <w:ind w:left="14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包装</w:t>
                        </w:r>
                      </w:p>
                    </w:tc>
                    <w:tc>
                      <w:tcPr>
                        <w:tcW w:w="1135" w:type="dxa"/>
                        <w:tcBorders>
                          <w:top w:val="nil" w:sz="6" w:space="0" w:color="auto"/>
                          <w:left w:val="nil" w:sz="6" w:space="0" w:color="auto"/>
                          <w:bottom w:val="nil" w:sz="6" w:space="0" w:color="auto"/>
                          <w:right w:val="nil" w:sz="6" w:space="0" w:color="auto"/>
                        </w:tcBorders>
                        <w:shd w:val="clear" w:color="auto" w:fill="D2D2D2"/>
                      </w:tcPr>
                      <w:p>
                        <w:pPr>
                          <w:spacing w:before="0" w:after="0" w:line="170" w:lineRule="exact"/>
                          <w:ind w:left="359" w:right="414"/>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体积</w:t>
                        </w:r>
                      </w:p>
                    </w:tc>
                    <w:tc>
                      <w:tcPr>
                        <w:tcW w:w="3700" w:type="dxa"/>
                        <w:tcBorders>
                          <w:top w:val="nil" w:sz="6" w:space="0" w:color="auto"/>
                          <w:left w:val="nil" w:sz="6" w:space="0" w:color="auto"/>
                          <w:bottom w:val="nil" w:sz="6" w:space="0" w:color="auto"/>
                          <w:right w:val="nil" w:sz="6" w:space="0" w:color="auto"/>
                        </w:tcBorders>
                        <w:shd w:val="clear" w:color="auto" w:fill="D2D2D2"/>
                      </w:tcPr>
                      <w:p>
                        <w:pPr>
                          <w:spacing w:before="0" w:after="0" w:line="170" w:lineRule="exact"/>
                          <w:ind w:left="114"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包装</w:t>
                        </w:r>
                      </w:p>
                    </w:tc>
                  </w:tr>
                  <w:tr>
                    <w:trPr>
                      <w:trHeight w:val="550" w:hRule="exact"/>
                    </w:trPr>
                    <w:tc>
                      <w:tcPr>
                        <w:tcW w:w="959"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74"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20</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p>
                        <w:pPr>
                          <w:spacing w:before="2" w:after="0" w:line="240" w:lineRule="auto"/>
                          <w:ind w:left="44"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美加仑</w:t>
                        </w:r>
                      </w:p>
                    </w:tc>
                    <w:tc>
                      <w:tcPr>
                        <w:tcW w:w="1191"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38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15</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p>
                        <w:pPr>
                          <w:spacing w:before="2" w:after="0" w:line="240" w:lineRule="auto"/>
                          <w:ind w:left="359"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3</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美加仑</w:t>
                        </w:r>
                      </w:p>
                    </w:tc>
                    <w:tc>
                      <w:tcPr>
                        <w:tcW w:w="898"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6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20</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p>
                        <w:pPr>
                          <w:spacing w:before="2" w:after="0" w:line="240" w:lineRule="auto"/>
                          <w:ind w:left="3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5</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美加仑</w:t>
                        </w:r>
                      </w:p>
                    </w:tc>
                    <w:tc>
                      <w:tcPr>
                        <w:tcW w:w="1135"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39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5</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p>
                        <w:pPr>
                          <w:spacing w:before="2" w:after="0" w:line="240" w:lineRule="auto"/>
                          <w:ind w:left="324"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美加仑</w:t>
                        </w:r>
                      </w:p>
                    </w:tc>
                    <w:tc>
                      <w:tcPr>
                        <w:tcW w:w="3700"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12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5</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p>
                        <w:pPr>
                          <w:spacing w:before="2" w:after="0" w:line="240" w:lineRule="auto"/>
                          <w:ind w:left="53"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美加仑</w:t>
                        </w:r>
                      </w:p>
                    </w:tc>
                  </w:tr>
                </w:tbl>
                <w:p>
                  <w:pPr>
                    <w:spacing w:before="0" w:after="0" w:line="240" w:lineRule="auto"/>
                    <w:jc w:val="left"/>
                  </w:pPr>
                </w:p>
              </w:txbxContent>
            </v:textbox>
            <w10:wrap type="none"/>
          </v:shape>
        </w:pict>
      </w:r>
      <w:r>
        <w:rPr>
          <w:rFonts w:ascii="Arial Unicode MS" w:hAnsi="Arial Unicode MS" w:cs="Arial Unicode MS" w:eastAsia="Arial Unicode MS"/>
          <w:spacing w:val="0"/>
          <w:w w:val="100"/>
          <w:position w:val="0"/>
          <w:sz w:val="22"/>
          <w:szCs w:val="22"/>
        </w:rPr>
        <w:t>包装规格</w:t>
      </w:r>
      <w:r>
        <w:rPr>
          <w:rFonts w:ascii="Arial Unicode MS" w:hAnsi="Arial Unicode MS" w:cs="Arial Unicode MS" w:eastAsia="Arial Unicode MS"/>
          <w:spacing w:val="0"/>
          <w:w w:val="100"/>
          <w:position w:val="0"/>
          <w:sz w:val="22"/>
          <w:szCs w:val="22"/>
        </w:rPr>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10" w:after="0" w:line="200" w:lineRule="exact"/>
        <w:jc w:val="left"/>
        <w:rPr>
          <w:sz w:val="20"/>
          <w:szCs w:val="20"/>
        </w:rPr>
      </w:pPr>
      <w:r>
        <w:rPr>
          <w:sz w:val="20"/>
          <w:szCs w:val="20"/>
        </w:rPr>
      </w:r>
    </w:p>
    <w:p>
      <w:pPr>
        <w:spacing w:before="0" w:after="0" w:line="210" w:lineRule="exact"/>
        <w:ind w:left="229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有关其它包装尺寸，请向国际油漆</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(International</w:t>
      </w:r>
      <w:r>
        <w:rPr>
          <w:rFonts w:ascii="Arial Unicode MS" w:hAnsi="Arial Unicode MS" w:cs="Arial Unicode MS" w:eastAsia="Arial Unicode MS"/>
          <w:spacing w:val="-8"/>
          <w:w w:val="100"/>
          <w:sz w:val="14"/>
          <w:szCs w:val="14"/>
        </w:rPr>
        <w:t> </w:t>
      </w:r>
      <w:r>
        <w:rPr>
          <w:rFonts w:ascii="Arial Unicode MS" w:hAnsi="Arial Unicode MS" w:cs="Arial Unicode MS" w:eastAsia="Arial Unicode MS"/>
          <w:spacing w:val="0"/>
          <w:w w:val="100"/>
          <w:sz w:val="14"/>
          <w:szCs w:val="14"/>
        </w:rPr>
        <w:t>Paint)</w:t>
      </w:r>
      <w:r>
        <w:rPr>
          <w:rFonts w:ascii="Arial Unicode MS" w:hAnsi="Arial Unicode MS" w:cs="Arial Unicode MS" w:eastAsia="Arial Unicode MS"/>
          <w:spacing w:val="-4"/>
          <w:w w:val="100"/>
          <w:sz w:val="14"/>
          <w:szCs w:val="14"/>
        </w:rPr>
        <w:t> </w:t>
      </w:r>
      <w:r>
        <w:rPr>
          <w:rFonts w:ascii="Arial Unicode MS" w:hAnsi="Arial Unicode MS" w:cs="Arial Unicode MS" w:eastAsia="Arial Unicode MS"/>
          <w:spacing w:val="0"/>
          <w:w w:val="100"/>
          <w:sz w:val="14"/>
          <w:szCs w:val="14"/>
        </w:rPr>
        <w:t>咨询。</w:t>
      </w:r>
    </w:p>
    <w:p>
      <w:pPr>
        <w:tabs>
          <w:tab w:pos="2740" w:val="left"/>
          <w:tab w:pos="4540" w:val="left"/>
        </w:tabs>
        <w:spacing w:before="8" w:after="0" w:line="240" w:lineRule="auto"/>
        <w:ind w:left="137" w:right="-20"/>
        <w:jc w:val="left"/>
        <w:rPr>
          <w:rFonts w:ascii="Arial Unicode MS" w:hAnsi="Arial Unicode MS" w:cs="Arial Unicode MS" w:eastAsia="Arial Unicode MS"/>
          <w:sz w:val="14"/>
          <w:szCs w:val="14"/>
        </w:rPr>
      </w:pPr>
      <w:r>
        <w:rPr/>
        <w:pict>
          <v:group style="position:absolute;margin-left:37.849998pt;margin-top:6.964191pt;width:522.75pt;height:40.8769pt;mso-position-horizontal-relative:page;mso-position-vertical-relative:paragraph;z-index:-350" coordorigin="757,139" coordsize="10455,818">
            <v:shape style="position:absolute;left:757;top:139;width:10455;height:818" coordorigin="757,139" coordsize="10455,818" path="m757,957l11212,957,11212,139,757,139,757,957xe" filled="t" fillcolor="#D2D2D2" stroked="f">
              <v:path arrowok="t"/>
              <v:fill/>
            </v:shape>
            <w10:wrap type="none"/>
          </v:group>
        </w:pict>
      </w:r>
      <w:r>
        <w:rPr>
          <w:rFonts w:ascii="Arial Unicode MS" w:hAnsi="Arial Unicode MS" w:cs="Arial Unicode MS" w:eastAsia="Arial Unicode MS"/>
          <w:spacing w:val="0"/>
          <w:w w:val="100"/>
          <w:position w:val="-6"/>
          <w:sz w:val="22"/>
          <w:szCs w:val="22"/>
        </w:rPr>
        <w:t>单位装运重量</w:t>
        <w:tab/>
      </w:r>
      <w:r>
        <w:rPr>
          <w:rFonts w:ascii="Arial Unicode MS" w:hAnsi="Arial Unicode MS" w:cs="Arial Unicode MS" w:eastAsia="Arial Unicode MS"/>
          <w:spacing w:val="0"/>
          <w:w w:val="100"/>
          <w:position w:val="-6"/>
          <w:sz w:val="22"/>
          <w:szCs w:val="22"/>
        </w:rPr>
      </w:r>
      <w:r>
        <w:rPr>
          <w:rFonts w:ascii="Arial Unicode MS" w:hAnsi="Arial Unicode MS" w:cs="Arial Unicode MS" w:eastAsia="Arial Unicode MS"/>
          <w:spacing w:val="0"/>
          <w:w w:val="100"/>
          <w:position w:val="0"/>
          <w:sz w:val="14"/>
          <w:szCs w:val="14"/>
        </w:rPr>
        <w:t>包装规格</w:t>
        <w:tab/>
      </w:r>
      <w:r>
        <w:rPr>
          <w:rFonts w:ascii="Arial Unicode MS" w:hAnsi="Arial Unicode MS" w:cs="Arial Unicode MS" w:eastAsia="Arial Unicode MS"/>
          <w:spacing w:val="0"/>
          <w:w w:val="100"/>
          <w:position w:val="0"/>
          <w:sz w:val="14"/>
          <w:szCs w:val="14"/>
        </w:rPr>
        <w:t>包装重量</w:t>
      </w:r>
    </w:p>
    <w:p>
      <w:pPr>
        <w:tabs>
          <w:tab w:pos="4580" w:val="left"/>
        </w:tabs>
        <w:spacing w:before="0" w:after="0" w:line="178" w:lineRule="exact"/>
        <w:ind w:left="278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公升</w:t>
        <w:tab/>
      </w:r>
      <w:r>
        <w:rPr>
          <w:rFonts w:ascii="Arial Unicode MS" w:hAnsi="Arial Unicode MS" w:cs="Arial Unicode MS" w:eastAsia="Arial Unicode MS"/>
          <w:spacing w:val="0"/>
          <w:w w:val="100"/>
          <w:sz w:val="14"/>
          <w:szCs w:val="14"/>
        </w:rPr>
        <w:t>33</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千克</w:t>
      </w:r>
    </w:p>
    <w:p>
      <w:pPr>
        <w:tabs>
          <w:tab w:pos="4600" w:val="left"/>
        </w:tabs>
        <w:spacing w:before="2" w:after="0" w:line="233" w:lineRule="exact"/>
        <w:ind w:left="275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4</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美加仑</w:t>
        <w:tab/>
      </w:r>
      <w:r>
        <w:rPr>
          <w:rFonts w:ascii="Arial Unicode MS" w:hAnsi="Arial Unicode MS" w:cs="Arial Unicode MS" w:eastAsia="Arial Unicode MS"/>
          <w:spacing w:val="0"/>
          <w:w w:val="100"/>
          <w:position w:val="-1"/>
          <w:sz w:val="14"/>
          <w:szCs w:val="14"/>
        </w:rPr>
        <w:t>55.3</w:t>
      </w:r>
      <w:r>
        <w:rPr>
          <w:rFonts w:ascii="Arial Unicode MS" w:hAnsi="Arial Unicode MS" w:cs="Arial Unicode MS" w:eastAsia="Arial Unicode MS"/>
          <w:spacing w:val="-3"/>
          <w:w w:val="100"/>
          <w:position w:val="-1"/>
          <w:sz w:val="14"/>
          <w:szCs w:val="14"/>
        </w:rPr>
        <w:t> </w:t>
      </w:r>
      <w:r>
        <w:rPr>
          <w:rFonts w:ascii="Arial Unicode MS" w:hAnsi="Arial Unicode MS" w:cs="Arial Unicode MS" w:eastAsia="Arial Unicode MS"/>
          <w:spacing w:val="0"/>
          <w:w w:val="100"/>
          <w:position w:val="-1"/>
          <w:sz w:val="14"/>
          <w:szCs w:val="14"/>
        </w:rPr>
        <w:t>磅</w:t>
      </w:r>
      <w:r>
        <w:rPr>
          <w:rFonts w:ascii="Arial Unicode MS" w:hAnsi="Arial Unicode MS" w:cs="Arial Unicode MS" w:eastAsia="Arial Unicode MS"/>
          <w:spacing w:val="0"/>
          <w:w w:val="100"/>
          <w:position w:val="0"/>
          <w:sz w:val="14"/>
          <w:szCs w:val="14"/>
        </w:rPr>
      </w:r>
    </w:p>
    <w:p>
      <w:pPr>
        <w:spacing w:before="14" w:after="0" w:line="200" w:lineRule="exact"/>
        <w:jc w:val="left"/>
        <w:rPr>
          <w:sz w:val="20"/>
          <w:szCs w:val="20"/>
        </w:rPr>
      </w:pPr>
      <w:r>
        <w:rPr>
          <w:sz w:val="20"/>
          <w:szCs w:val="20"/>
        </w:rPr>
      </w:r>
    </w:p>
    <w:p>
      <w:pPr>
        <w:tabs>
          <w:tab w:pos="2320" w:val="left"/>
          <w:tab w:pos="3820" w:val="left"/>
        </w:tabs>
        <w:spacing w:before="0" w:after="0" w:line="284" w:lineRule="exact"/>
        <w:ind w:left="137" w:right="-20"/>
        <w:jc w:val="left"/>
        <w:rPr>
          <w:rFonts w:ascii="Arial Unicode MS" w:hAnsi="Arial Unicode MS" w:cs="Arial Unicode MS" w:eastAsia="Arial Unicode MS"/>
          <w:sz w:val="16"/>
          <w:szCs w:val="16"/>
        </w:rPr>
      </w:pPr>
      <w:r>
        <w:rPr/>
        <w:pict>
          <v:group style="position:absolute;margin-left:37.349998pt;margin-top:2.007024pt;width:524.5pt;height:20.9831pt;mso-position-horizontal-relative:page;mso-position-vertical-relative:paragraph;z-index:-349" coordorigin="747,40" coordsize="10490,420">
            <v:group style="position:absolute;left:757;top:50;width:10470;height:400" coordorigin="757,50" coordsize="10470,400">
              <v:shape style="position:absolute;left:757;top:50;width:10470;height:400" coordorigin="757,50" coordsize="10470,400" path="m757,450l11227,450,11227,50,757,50,757,450xe" filled="t" fillcolor="#D2D2D2" stroked="f">
                <v:path arrowok="t"/>
                <v:fill/>
              </v:shape>
            </v:group>
            <v:group style="position:absolute;left:2917;top:435;width:8280;height:2" coordorigin="2917,435" coordsize="8280,2">
              <v:shape style="position:absolute;left:2917;top:435;width:8280;height:2" coordorigin="2917,435" coordsize="8280,0" path="m2917,435l11197,435e" filled="f" stroked="t" strokeweight="1.5pt" strokecolor="#000000">
                <v:path arrowok="t"/>
              </v:shape>
            </v:group>
            <w10:wrap type="none"/>
          </v:group>
        </w:pict>
      </w:r>
      <w:r>
        <w:rPr>
          <w:rFonts w:ascii="Arial Unicode MS" w:hAnsi="Arial Unicode MS" w:cs="Arial Unicode MS" w:eastAsia="Arial Unicode MS"/>
          <w:spacing w:val="0"/>
          <w:w w:val="100"/>
          <w:position w:val="0"/>
          <w:sz w:val="22"/>
          <w:szCs w:val="22"/>
        </w:rPr>
        <w:t>贮存</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保存期限</w:t>
        <w:tab/>
      </w:r>
      <w:r>
        <w:rPr>
          <w:rFonts w:ascii="Arial Unicode MS" w:hAnsi="Arial Unicode MS" w:cs="Arial Unicode MS" w:eastAsia="Arial Unicode MS"/>
          <w:spacing w:val="0"/>
          <w:w w:val="100"/>
          <w:position w:val="4"/>
          <w:sz w:val="16"/>
          <w:szCs w:val="16"/>
        </w:rPr>
        <w:t>在</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25°C</w:t>
      </w:r>
      <w:r>
        <w:rPr>
          <w:rFonts w:ascii="Arial Unicode MS" w:hAnsi="Arial Unicode MS" w:cs="Arial Unicode MS" w:eastAsia="Arial Unicode MS"/>
          <w:spacing w:val="-4"/>
          <w:w w:val="100"/>
          <w:position w:val="4"/>
          <w:sz w:val="16"/>
          <w:szCs w:val="16"/>
        </w:rPr>
        <w:t> </w:t>
      </w:r>
      <w:r>
        <w:rPr>
          <w:rFonts w:ascii="Arial Unicode MS" w:hAnsi="Arial Unicode MS" w:cs="Arial Unicode MS" w:eastAsia="Arial Unicode MS"/>
          <w:spacing w:val="0"/>
          <w:w w:val="100"/>
          <w:position w:val="4"/>
          <w:sz w:val="16"/>
          <w:szCs w:val="16"/>
        </w:rPr>
        <w:t>时，最短为</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12</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个月。此后需复查。贮存于干燥遮蔽之处，远离热源及火种。</w:t>
      </w:r>
      <w:r>
        <w:rPr>
          <w:rFonts w:ascii="Arial Unicode MS" w:hAnsi="Arial Unicode MS" w:cs="Arial Unicode MS" w:eastAsia="Arial Unicode MS"/>
          <w:spacing w:val="0"/>
          <w:w w:val="100"/>
          <w:position w:val="0"/>
          <w:sz w:val="16"/>
          <w:szCs w:val="16"/>
        </w:rPr>
      </w:r>
    </w:p>
    <w:p>
      <w:pPr>
        <w:spacing w:before="3" w:after="0" w:line="140" w:lineRule="exact"/>
        <w:jc w:val="left"/>
        <w:rPr>
          <w:sz w:val="14"/>
          <w:szCs w:val="14"/>
        </w:rPr>
      </w:pPr>
      <w:r>
        <w:rPr>
          <w:sz w:val="14"/>
          <w:szCs w:val="14"/>
        </w:rPr>
      </w:r>
    </w:p>
    <w:p>
      <w:pPr>
        <w:spacing w:before="0" w:after="0" w:line="200" w:lineRule="exact"/>
        <w:jc w:val="left"/>
        <w:rPr>
          <w:sz w:val="20"/>
          <w:szCs w:val="20"/>
        </w:rPr>
      </w:pPr>
      <w:r>
        <w:rPr>
          <w:sz w:val="20"/>
          <w:szCs w:val="20"/>
        </w:rPr>
      </w:r>
    </w:p>
    <w:p>
      <w:pPr>
        <w:spacing w:line="200" w:lineRule="exact" w:after="0"/>
        <w:jc w:val="left"/>
        <w:rPr>
          <w:sz w:val="20"/>
          <w:szCs w:val="20"/>
        </w:rPr>
        <w:sectPr>
          <w:pgSz w:w="11900" w:h="16820"/>
          <w:pgMar w:header="299" w:footer="1582" w:top="1040" w:bottom="1780" w:left="620" w:right="540"/>
        </w:sectPr>
      </w:pPr>
    </w:p>
    <w:p>
      <w:pPr>
        <w:spacing w:before="0" w:after="0" w:line="284" w:lineRule="exact"/>
        <w:ind w:left="11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全球供应情况</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请向国际油漆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咨询。</w:t>
      </w:r>
    </w:p>
    <w:p>
      <w:pPr>
        <w:spacing w:line="231" w:lineRule="exact"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1438" w:space="840"/>
            <w:col w:w="8462"/>
          </w:cols>
        </w:sectPr>
      </w:pPr>
    </w:p>
    <w:p>
      <w:pPr>
        <w:spacing w:before="0" w:after="0" w:line="200" w:lineRule="exact"/>
        <w:jc w:val="left"/>
        <w:rPr>
          <w:sz w:val="20"/>
          <w:szCs w:val="20"/>
        </w:rPr>
      </w:pPr>
      <w:r>
        <w:rPr>
          <w:sz w:val="20"/>
          <w:szCs w:val="20"/>
        </w:rPr>
      </w:r>
    </w:p>
    <w:p>
      <w:pPr>
        <w:spacing w:line="200" w:lineRule="exact" w:after="0"/>
        <w:jc w:val="left"/>
        <w:rPr>
          <w:sz w:val="20"/>
          <w:szCs w:val="20"/>
        </w:rPr>
        <w:sectPr>
          <w:type w:val="continuous"/>
          <w:pgSz w:w="11900" w:h="16820"/>
          <w:pgMar w:top="1040" w:bottom="1780" w:left="620" w:right="540"/>
        </w:sectPr>
      </w:pPr>
    </w:p>
    <w:p>
      <w:pPr>
        <w:spacing w:before="0" w:after="0" w:line="306" w:lineRule="exact"/>
        <w:ind w:left="117" w:right="-73"/>
        <w:jc w:val="left"/>
        <w:rPr>
          <w:rFonts w:ascii="Arial Unicode MS" w:hAnsi="Arial Unicode MS" w:cs="Arial Unicode MS" w:eastAsia="Arial Unicode MS"/>
          <w:sz w:val="22"/>
          <w:szCs w:val="22"/>
        </w:rPr>
      </w:pPr>
      <w:r>
        <w:rPr/>
        <w:pict>
          <v:group style="position:absolute;margin-left:144.860001pt;margin-top:-3.420402pt;width:414pt;height:.1pt;mso-position-horizontal-relative:page;mso-position-vertical-relative:paragraph;z-index:-348" coordorigin="2897,-68" coordsize="8280,2">
            <v:shape style="position:absolute;left:2897;top:-68;width:8280;height:2" coordorigin="2897,-68" coordsize="8280,0" path="m2897,-68l11177,-68e" filled="f" stroked="t" strokeweight="1.5pt" strokecolor="#000000">
              <v:path arrowok="t"/>
            </v:shape>
            <w10:wrap type="none"/>
          </v:group>
        </w:pict>
      </w:r>
      <w:r>
        <w:rPr>
          <w:rFonts w:ascii="Arial Unicode MS" w:hAnsi="Arial Unicode MS" w:cs="Arial Unicode MS" w:eastAsia="Arial Unicode MS"/>
          <w:spacing w:val="0"/>
          <w:w w:val="100"/>
          <w:sz w:val="22"/>
          <w:szCs w:val="22"/>
        </w:rPr>
        <w:t>重要声明</w:t>
      </w:r>
    </w:p>
    <w:p>
      <w:pPr>
        <w:spacing w:before="24" w:after="0" w:line="185" w:lineRule="auto"/>
        <w:ind w:left="6" w:right="252"/>
        <w:jc w:val="left"/>
        <w:rPr>
          <w:rFonts w:ascii="Arial Unicode MS" w:hAnsi="Arial Unicode MS" w:cs="Arial Unicode MS" w:eastAsia="Arial Unicode MS"/>
          <w:sz w:val="12"/>
          <w:szCs w:val="12"/>
        </w:rPr>
      </w:pPr>
      <w:r>
        <w:rPr/>
        <w:br w:type="column"/>
      </w:r>
      <w:r>
        <w:rPr>
          <w:rFonts w:ascii="Arial Unicode MS" w:hAnsi="Arial Unicode MS" w:cs="Arial Unicode MS" w:eastAsia="Arial Unicode MS"/>
          <w:spacing w:val="0"/>
          <w:w w:val="100"/>
          <w:sz w:val="12"/>
          <w:szCs w:val="12"/>
        </w:rPr>
        <w:t>该产品说明书中所提供的资料并非详尽无遗，任何人因任何原因，未首先经我们书面确认而使用本说明书特别推荐以外的任何产品，则自行承担产品对其预</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期目的适用性这一风险。虽然我们竭力保证我们对产品所提供的所有建议(无论在本说明书中或以其它方式提供的)均正确无误，但我们无法控制底材的质量</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或状况或影响该产品施工和使用的多种因素。因此，除非我们特地书面同意这种做法，否则我们对于所产生的任何产品性能问题不负责任，或因使用产品而</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导致的损失或损坏在法律允许的最大范围内概不负责。</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所有供应的产品及提供的技术指导隶属于我们的标准销售条款和条件。您应获取本文件的副本并仔</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细阅读。该产品说明书所包含资料将根据经验及我们不断开发产品的政策随时进行修改。</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在使用产品前，与当地“国际油漆代表”一起检查所持产品说明书为</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最新版本是用户的职责。</w:t>
      </w:r>
    </w:p>
    <w:p>
      <w:pPr>
        <w:spacing w:before="1" w:after="0" w:line="120" w:lineRule="exact"/>
        <w:jc w:val="left"/>
        <w:rPr>
          <w:sz w:val="12"/>
          <w:szCs w:val="12"/>
        </w:rPr>
      </w:pPr>
      <w:r>
        <w:rPr>
          <w:sz w:val="12"/>
          <w:szCs w:val="12"/>
        </w:rPr>
      </w:r>
    </w:p>
    <w:p>
      <w:pPr>
        <w:spacing w:before="0" w:after="0" w:line="240" w:lineRule="auto"/>
        <w:ind w:right="-20"/>
        <w:jc w:val="left"/>
        <w:rPr>
          <w:rFonts w:ascii="Arial Unicode MS" w:hAnsi="Arial Unicode MS" w:cs="Arial Unicode MS" w:eastAsia="Arial Unicode MS"/>
          <w:sz w:val="12"/>
          <w:szCs w:val="12"/>
        </w:rPr>
      </w:pPr>
      <w:r>
        <w:rPr/>
        <w:pict>
          <v:shape style="width:58.54pt;height:7pt;mso-position-horizontal-relative:char;mso-position-vertical-relative:line" type="#_x0000_t75">
            <v:imagedata r:id="rId9" o:title=""/>
          </v:shape>
        </w:pict>
      </w:r>
      <w:r>
        <w:rPr>
          <w:rFonts w:ascii="Arial Unicode MS" w:hAnsi="Arial Unicode MS" w:cs="Arial Unicode MS" w:eastAsia="Arial Unicode MS"/>
          <w:spacing w:val="0"/>
          <w:w w:val="100"/>
          <w:position w:val="0"/>
          <w:sz w:val="12"/>
          <w:szCs w:val="12"/>
        </w:rPr>
        <w:t>以及所有本产品说明书中提到的产品名称均为AkzoNobel（阿克苏诺贝尔）之商标或已许可给AkzoNobel（阿克苏诺贝尔）。</w:t>
      </w:r>
      <w:r>
        <w:rPr>
          <w:rFonts w:ascii="Arial Unicode MS" w:hAnsi="Arial Unicode MS" w:cs="Arial Unicode MS" w:eastAsia="Arial Unicode MS"/>
          <w:spacing w:val="0"/>
          <w:w w:val="100"/>
          <w:position w:val="0"/>
          <w:sz w:val="12"/>
          <w:szCs w:val="12"/>
        </w:rPr>
      </w:r>
    </w:p>
    <w:p>
      <w:pPr>
        <w:spacing w:before="9" w:after="0" w:line="110" w:lineRule="exact"/>
        <w:jc w:val="left"/>
        <w:rPr>
          <w:sz w:val="11"/>
          <w:szCs w:val="11"/>
        </w:rPr>
      </w:pPr>
      <w:r>
        <w:rPr>
          <w:sz w:val="11"/>
          <w:szCs w:val="11"/>
        </w:rPr>
      </w:r>
    </w:p>
    <w:p>
      <w:pPr>
        <w:spacing w:before="0" w:after="0" w:line="240" w:lineRule="auto"/>
        <w:ind w:left="6" w:right="-20"/>
        <w:jc w:val="left"/>
        <w:rPr>
          <w:rFonts w:ascii="Arial" w:hAnsi="Arial" w:cs="Arial" w:eastAsia="Arial"/>
          <w:sz w:val="12"/>
          <w:szCs w:val="12"/>
        </w:rPr>
      </w:pPr>
      <w:r>
        <w:rPr>
          <w:rFonts w:ascii="Arial" w:hAnsi="Arial" w:cs="Arial" w:eastAsia="Arial"/>
          <w:b/>
          <w:bCs/>
          <w:spacing w:val="0"/>
          <w:w w:val="100"/>
          <w:sz w:val="12"/>
          <w:szCs w:val="12"/>
        </w:rPr>
        <w:t>©</w:t>
      </w:r>
      <w:r>
        <w:rPr>
          <w:rFonts w:ascii="Arial" w:hAnsi="Arial" w:cs="Arial" w:eastAsia="Arial"/>
          <w:b/>
          <w:bCs/>
          <w:spacing w:val="-1"/>
          <w:w w:val="100"/>
          <w:sz w:val="12"/>
          <w:szCs w:val="12"/>
        </w:rPr>
        <w:t> </w:t>
      </w:r>
      <w:r>
        <w:rPr>
          <w:rFonts w:ascii="Arial" w:hAnsi="Arial" w:cs="Arial" w:eastAsia="Arial"/>
          <w:b/>
          <w:bCs/>
          <w:spacing w:val="0"/>
          <w:w w:val="100"/>
          <w:sz w:val="12"/>
          <w:szCs w:val="12"/>
        </w:rPr>
        <w:t>AkzoNobel,</w:t>
      </w:r>
      <w:r>
        <w:rPr>
          <w:rFonts w:ascii="Arial" w:hAnsi="Arial" w:cs="Arial" w:eastAsia="Arial"/>
          <w:b/>
          <w:bCs/>
          <w:spacing w:val="-8"/>
          <w:w w:val="100"/>
          <w:sz w:val="12"/>
          <w:szCs w:val="12"/>
        </w:rPr>
        <w:t> </w:t>
      </w:r>
      <w:r>
        <w:rPr>
          <w:rFonts w:ascii="Arial" w:hAnsi="Arial" w:cs="Arial" w:eastAsia="Arial"/>
          <w:b/>
          <w:bCs/>
          <w:spacing w:val="0"/>
          <w:w w:val="100"/>
          <w:sz w:val="12"/>
          <w:szCs w:val="12"/>
        </w:rPr>
        <w:t>2009</w:t>
      </w:r>
      <w:r>
        <w:rPr>
          <w:rFonts w:ascii="Arial" w:hAnsi="Arial" w:cs="Arial" w:eastAsia="Arial"/>
          <w:spacing w:val="0"/>
          <w:w w:val="100"/>
          <w:sz w:val="12"/>
          <w:szCs w:val="12"/>
        </w:rPr>
      </w:r>
    </w:p>
    <w:p>
      <w:pPr>
        <w:spacing w:before="27" w:after="0" w:line="240" w:lineRule="auto"/>
        <w:ind w:left="20" w:right="-20"/>
        <w:jc w:val="left"/>
        <w:rPr>
          <w:rFonts w:ascii="Arial" w:hAnsi="Arial" w:cs="Arial" w:eastAsia="Arial"/>
          <w:sz w:val="18"/>
          <w:szCs w:val="18"/>
        </w:rPr>
      </w:pPr>
      <w:r>
        <w:rPr>
          <w:rFonts w:ascii="Arial" w:hAnsi="Arial" w:cs="Arial" w:eastAsia="Arial"/>
          <w:color w:val="0000FF"/>
          <w:sz w:val="18"/>
          <w:szCs w:val="18"/>
        </w:rPr>
      </w:r>
      <w:hyperlink r:id="rId10">
        <w:r>
          <w:rPr>
            <w:rFonts w:ascii="Arial" w:hAnsi="Arial" w:cs="Arial" w:eastAsia="Arial"/>
            <w:color w:val="0000FF"/>
            <w:spacing w:val="0"/>
            <w:w w:val="100"/>
            <w:sz w:val="18"/>
            <w:szCs w:val="18"/>
            <w:u w:val="single" w:color="0000FF"/>
          </w:rPr>
          <w:t>www.international-marine.com</w:t>
        </w:r>
        <w:r>
          <w:rPr>
            <w:rFonts w:ascii="Arial" w:hAnsi="Arial" w:cs="Arial" w:eastAsia="Arial"/>
            <w:color w:val="0000FF"/>
            <w:spacing w:val="0"/>
            <w:w w:val="100"/>
            <w:sz w:val="18"/>
            <w:szCs w:val="18"/>
          </w:rPr>
        </w:r>
        <w:r>
          <w:rPr>
            <w:rFonts w:ascii="Arial" w:hAnsi="Arial" w:cs="Arial" w:eastAsia="Arial"/>
            <w:color w:val="000000"/>
            <w:spacing w:val="0"/>
            <w:w w:val="100"/>
            <w:sz w:val="18"/>
            <w:szCs w:val="18"/>
          </w:rPr>
        </w:r>
      </w:hyperlink>
    </w:p>
    <w:sectPr>
      <w:type w:val="continuous"/>
      <w:pgSz w:w="11900" w:h="16820"/>
      <w:pgMar w:top="1040" w:bottom="1780" w:left="620" w:right="540"/>
      <w:cols w:num="2" w:equalWidth="0">
        <w:col w:w="998" w:space="1274"/>
        <w:col w:w="846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498.23999pt;margin-top:751.900024pt;width:60.22pt;height:72pt;mso-position-horizontal-relative:page;mso-position-vertical-relative:page;z-index:-359" type="#_x0000_t75">
          <v:imagedata r:id="rId1" o:title=""/>
        </v:shape>
      </w:pict>
    </w:r>
    <w:r>
      <w:rPr/>
      <w:pict>
        <v:group style="position:absolute;margin-left:36.860001pt;margin-top:780.25pt;width:455.53pt;height:.1pt;mso-position-horizontal-relative:page;mso-position-vertical-relative:page;z-index:-358" coordorigin="737,15605" coordsize="9111,2">
          <v:shape style="position:absolute;left:737;top:15605;width:9111;height:2" coordorigin="737,15605" coordsize="9111,0" path="m737,15605l9848,15605e" filled="f" stroked="t" strokeweight=".5pt" strokecolor="#A9A9A9">
            <v:path arrowok="t"/>
          </v:shape>
          <w10:wrap type="none"/>
        </v:group>
      </w:pict>
    </w:r>
    <w:r>
      <w:rPr/>
      <w:pict>
        <v:shape style="position:absolute;margin-left:35.857868pt;margin-top:764.050842pt;width:96.309991pt;height:52.800713pt;mso-position-horizontal-relative:page;mso-position-vertical-relative:page;z-index:-357" type="#_x0000_t202" filled="f" stroked="f">
          <v:textbox inset="0,0,0,0">
            <w:txbxContent>
              <w:p>
                <w:pPr>
                  <w:spacing w:before="0" w:after="0" w:line="265" w:lineRule="exact"/>
                  <w:ind w:left="40" w:right="-56"/>
                  <w:jc w:val="left"/>
                  <w:rPr>
                    <w:rFonts w:ascii="Arial" w:hAnsi="Arial" w:cs="Arial" w:eastAsia="Arial"/>
                    <w:sz w:val="24"/>
                    <w:szCs w:val="24"/>
                  </w:rPr>
                </w:pPr>
                <w:r>
                  <w:rPr>
                    <w:rFonts w:ascii="Arial" w:hAnsi="Arial" w:cs="Arial" w:eastAsia="Arial"/>
                    <w:b/>
                    <w:bCs/>
                    <w:color w:val="7F7F7F"/>
                    <w:spacing w:val="0"/>
                    <w:w w:val="100"/>
                    <w:sz w:val="24"/>
                    <w:szCs w:val="24"/>
                  </w:rPr>
                  <w:t>Marine</w:t>
                </w:r>
                <w:r>
                  <w:rPr>
                    <w:rFonts w:ascii="Arial" w:hAnsi="Arial" w:cs="Arial" w:eastAsia="Arial"/>
                    <w:b/>
                    <w:bCs/>
                    <w:color w:val="7F7F7F"/>
                    <w:spacing w:val="-1"/>
                    <w:w w:val="100"/>
                    <w:sz w:val="24"/>
                    <w:szCs w:val="24"/>
                  </w:rPr>
                  <w:t> </w:t>
                </w:r>
                <w:r>
                  <w:rPr>
                    <w:rFonts w:ascii="Arial" w:hAnsi="Arial" w:cs="Arial" w:eastAsia="Arial"/>
                    <w:b/>
                    <w:bCs/>
                    <w:color w:val="7F7F7F"/>
                    <w:spacing w:val="0"/>
                    <w:w w:val="100"/>
                    <w:sz w:val="24"/>
                    <w:szCs w:val="24"/>
                  </w:rPr>
                  <w:t>Coatings</w:t>
                </w:r>
                <w:r>
                  <w:rPr>
                    <w:rFonts w:ascii="Arial" w:hAnsi="Arial" w:cs="Arial" w:eastAsia="Arial"/>
                    <w:color w:val="000000"/>
                    <w:spacing w:val="0"/>
                    <w:w w:val="100"/>
                    <w:sz w:val="24"/>
                    <w:szCs w:val="24"/>
                  </w:rPr>
                </w:r>
              </w:p>
              <w:p>
                <w:pPr>
                  <w:spacing w:before="3" w:after="0" w:line="100" w:lineRule="exact"/>
                  <w:jc w:val="left"/>
                  <w:rPr>
                    <w:sz w:val="10"/>
                    <w:szCs w:val="10"/>
                  </w:rPr>
                </w:pPr>
                <w:r>
                  <w:rPr>
                    <w:sz w:val="10"/>
                    <w:szCs w:val="10"/>
                  </w:rPr>
                </w:r>
              </w:p>
              <w:p>
                <w:pPr>
                  <w:spacing w:before="0" w:after="0" w:line="222" w:lineRule="auto"/>
                  <w:ind w:left="20" w:right="604"/>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第</w:t>
                </w:r>
                <w:r>
                  <w:rPr>
                    <w:rFonts w:ascii="Arial Unicode MS" w:hAnsi="Arial Unicode MS" w:cs="Arial Unicode MS" w:eastAsia="Arial Unicode MS"/>
                    <w:spacing w:val="0"/>
                    <w:w w:val="100"/>
                    <w:sz w:val="14"/>
                    <w:szCs w:val="14"/>
                  </w:rPr>
                  <w:t> </w:t>
                </w:r>
                <w:r>
                  <w:rPr/>
                  <w:fldChar w:fldCharType="begin"/>
                </w:r>
                <w:r>
                  <w:rPr>
                    <w:rFonts w:ascii="Arial Unicode MS" w:hAnsi="Arial Unicode MS" w:cs="Arial Unicode MS" w:eastAsia="Arial Unicode MS"/>
                    <w:spacing w:val="0"/>
                    <w:w w:val="100"/>
                    <w:sz w:val="14"/>
                    <w:szCs w:val="14"/>
                  </w:rPr>
                  <w:instrText> PAGE </w:instrText>
                </w:r>
                <w:r>
                  <w:rPr/>
                  <w:fldChar w:fldCharType="separate"/>
                </w:r>
                <w:r>
                  <w:rPr/>
                  <w:t>1</w:t>
                </w:r>
                <w:r>
                  <w:rPr/>
                  <w:fldChar w:fldCharType="end"/>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页，共</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页</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发行日期：2009/7/7</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资料来源752</w:t>
                </w:r>
              </w:p>
            </w:txbxContent>
          </v:textbox>
          <w10:wrap type="none"/>
        </v:shape>
      </w:pict>
    </w:r>
    <w:r>
      <w:rPr>
        <w:sz w:val="20"/>
        <w:szCs w:val="20"/>
      </w:rPr>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361" type="#_x0000_t75">
          <v:imagedata r:id="rId1" o:title=""/>
        </v:shape>
      </w:pict>
    </w:r>
    <w:r>
      <w:rPr/>
      <w:pict>
        <v:shapetype id="_x0000_t202" o:spt="202" coordsize="21600,21600" path="m,l,21600r21600,l21600,xe">
          <v:stroke joinstyle="miter"/>
          <v:path gradientshapeok="t" o:connecttype="rect"/>
        </v:shapetype>
        <v:shape style="position:absolute;margin-left:425.156586pt;margin-top:13.964228pt;width:138.656403pt;height:39.970127pt;mso-position-horizontal-relative:page;mso-position-vertical-relative:page;z-index:-360"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Interline</w:t>
                </w:r>
                <w:r>
                  <w:rPr>
                    <w:rFonts w:ascii="Arial Unicode MS" w:hAnsi="Arial Unicode MS" w:cs="Arial Unicode MS" w:eastAsia="Arial Unicode MS"/>
                    <w:spacing w:val="-17"/>
                    <w:w w:val="100"/>
                    <w:position w:val="2"/>
                    <w:sz w:val="48"/>
                    <w:szCs w:val="48"/>
                  </w:rPr>
                  <w:t> </w:t>
                </w:r>
                <w:r>
                  <w:rPr>
                    <w:rFonts w:ascii="Arial Unicode MS" w:hAnsi="Arial Unicode MS" w:cs="Arial Unicode MS" w:eastAsia="Arial Unicode MS"/>
                    <w:spacing w:val="0"/>
                    <w:w w:val="100"/>
                    <w:position w:val="2"/>
                    <w:sz w:val="48"/>
                    <w:szCs w:val="48"/>
                  </w:rPr>
                  <w:t>925</w:t>
                </w:r>
                <w:r>
                  <w:rPr>
                    <w:rFonts w:ascii="Arial Unicode MS" w:hAnsi="Arial Unicode MS" w:cs="Arial Unicode MS" w:eastAsia="Arial Unicode MS"/>
                    <w:spacing w:val="0"/>
                    <w:w w:val="100"/>
                    <w:position w:val="0"/>
                    <w:sz w:val="48"/>
                    <w:szCs w:val="48"/>
                  </w:rPr>
                </w:r>
              </w:p>
              <w:p>
                <w:pPr>
                  <w:spacing w:before="0" w:after="0" w:line="262" w:lineRule="exact"/>
                  <w:ind w:left="1433"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环氧液舱涂料</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356" type="#_x0000_t75">
          <v:imagedata r:id="rId1" o:title=""/>
        </v:shape>
      </w:pict>
    </w:r>
    <w:r>
      <w:rPr/>
      <w:pict>
        <v:shape style="position:absolute;margin-left:425.156586pt;margin-top:13.964228pt;width:138.656403pt;height:39.970127pt;mso-position-horizontal-relative:page;mso-position-vertical-relative:page;z-index:-355"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Interline</w:t>
                </w:r>
                <w:r>
                  <w:rPr>
                    <w:rFonts w:ascii="Arial Unicode MS" w:hAnsi="Arial Unicode MS" w:cs="Arial Unicode MS" w:eastAsia="Arial Unicode MS"/>
                    <w:spacing w:val="-17"/>
                    <w:w w:val="100"/>
                    <w:position w:val="2"/>
                    <w:sz w:val="48"/>
                    <w:szCs w:val="48"/>
                  </w:rPr>
                  <w:t> </w:t>
                </w:r>
                <w:r>
                  <w:rPr>
                    <w:rFonts w:ascii="Arial Unicode MS" w:hAnsi="Arial Unicode MS" w:cs="Arial Unicode MS" w:eastAsia="Arial Unicode MS"/>
                    <w:spacing w:val="0"/>
                    <w:w w:val="100"/>
                    <w:position w:val="2"/>
                    <w:sz w:val="48"/>
                    <w:szCs w:val="48"/>
                  </w:rPr>
                  <w:t>925</w:t>
                </w:r>
                <w:r>
                  <w:rPr>
                    <w:rFonts w:ascii="Arial Unicode MS" w:hAnsi="Arial Unicode MS" w:cs="Arial Unicode MS" w:eastAsia="Arial Unicode MS"/>
                    <w:spacing w:val="0"/>
                    <w:w w:val="100"/>
                    <w:position w:val="0"/>
                    <w:sz w:val="48"/>
                    <w:szCs w:val="48"/>
                  </w:rPr>
                </w:r>
              </w:p>
              <w:p>
                <w:pPr>
                  <w:spacing w:before="0" w:after="0" w:line="262" w:lineRule="exact"/>
                  <w:ind w:left="1433"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环氧液舱涂料</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354" type="#_x0000_t75">
          <v:imagedata r:id="rId1" o:title=""/>
        </v:shape>
      </w:pict>
    </w:r>
    <w:r>
      <w:rPr/>
      <w:pict>
        <v:shape style="position:absolute;margin-left:425.156586pt;margin-top:13.964228pt;width:138.656403pt;height:39.970127pt;mso-position-horizontal-relative:page;mso-position-vertical-relative:page;z-index:-353"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Interline</w:t>
                </w:r>
                <w:r>
                  <w:rPr>
                    <w:rFonts w:ascii="Arial Unicode MS" w:hAnsi="Arial Unicode MS" w:cs="Arial Unicode MS" w:eastAsia="Arial Unicode MS"/>
                    <w:spacing w:val="-17"/>
                    <w:w w:val="100"/>
                    <w:position w:val="2"/>
                    <w:sz w:val="48"/>
                    <w:szCs w:val="48"/>
                  </w:rPr>
                  <w:t> </w:t>
                </w:r>
                <w:r>
                  <w:rPr>
                    <w:rFonts w:ascii="Arial Unicode MS" w:hAnsi="Arial Unicode MS" w:cs="Arial Unicode MS" w:eastAsia="Arial Unicode MS"/>
                    <w:spacing w:val="0"/>
                    <w:w w:val="100"/>
                    <w:position w:val="2"/>
                    <w:sz w:val="48"/>
                    <w:szCs w:val="48"/>
                  </w:rPr>
                  <w:t>925</w:t>
                </w:r>
                <w:r>
                  <w:rPr>
                    <w:rFonts w:ascii="Arial Unicode MS" w:hAnsi="Arial Unicode MS" w:cs="Arial Unicode MS" w:eastAsia="Arial Unicode MS"/>
                    <w:spacing w:val="0"/>
                    <w:w w:val="100"/>
                    <w:position w:val="0"/>
                    <w:sz w:val="48"/>
                    <w:szCs w:val="48"/>
                  </w:rPr>
                </w:r>
              </w:p>
              <w:p>
                <w:pPr>
                  <w:spacing w:before="0" w:after="0" w:line="262" w:lineRule="exact"/>
                  <w:ind w:left="1433"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环氧液舱涂料</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5.jpg"/><Relationship Id="rId10" Type="http://schemas.openxmlformats.org/officeDocument/2006/relationships/hyperlink" Target="http://www.international-mar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PdfGen</dc:creator>
  <cp:keywords>Chinese Simplified Marine Coatings Interline 925 环氧液舱涂料 Interline 1 07/07/2009 Interline 925 I 752 chi-s</cp:keywords>
  <dc:subject>Technical Datasheet</dc:subject>
  <dc:title>Interline 925</dc:title>
  <dcterms:created xsi:type="dcterms:W3CDTF">2015-07-27T15:50:43Z</dcterms:created>
  <dcterms:modified xsi:type="dcterms:W3CDTF">2015-07-27T15:50:43Z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2009-07-08T00:00:00Z</vt:filetime>
  </property>
  <property fmtid="{D5CDD505-2E9C-101B-9397-08002B2CF9AE}" pid="3" name="LastSaved">
    <vt:filetime>2015-07-27T00:00:00Z</vt:filetime>
  </property>
</Properties>
</file>